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de Instituição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incluir, alterar, remover ou consultar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as instituições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que fazem parte do BiotLab.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az 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Menu &gt; Manter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instituição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um menu lateral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listando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opções.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Nov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 instituição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Buscar instituição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Nova instituição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uma nova instituição no sistema do biotlab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“Nov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Cadastro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instituição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DD-Bi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003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Buscar instituição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alguma instituição que faz parte do sistema BiotLab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.781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instituições registradas e uma barra de busca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nos botões “Remover, Alterar” para outras funcionalidades.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instituição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 instituição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pesquisa pela instituição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exclui os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 instituição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instituição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instituição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Buscar instituição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instituição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instituição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pela instituição que deseja Alterar.(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submete dados para o 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apertando o botão “Salvar”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Dados não válidos. Sistema exibe mensagem “Dados inválidos,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Insira novamente os dados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