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3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de Biotério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incluir, alterar, remover ou consultar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os biotérios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que fazem parte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 Chefe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 Chefe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az 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menu lateral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listando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opções.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 biotério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biotério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 biotério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biotério no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“Nov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DD-Bi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007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Pesquisar biotério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biotério que faz parte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.78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instituições registradas e uma barra de busca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biotério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biotério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biotério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biotério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não válidos. Sistema exibe mensagem “Dados inválidos,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Insira novamente os dados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