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5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Povoar Gaiolas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incluir, alterar, remover ou consultar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os animais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que fazem parte de uma gaiola.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Menu &gt;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Povoar 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um menu lateral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listando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opções.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Nov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o Povoar Gaiola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Buscar Povoar Gaiola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Povoar Gaiola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uma nova Gaiola povoada no sistema do biotério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“Nov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Cadastro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povoar 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015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Buscar Povoar Gaiola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alguma Gaiola povoada que faz parte do biotério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.781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as gaiolas ocupadas registradas e uma barra de busca com filtros para ajudar na pesquisa.(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Autor pode clicar nos botões “Remover, Alterar” para outras funcionalidades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Povoar Gaiola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 uma gaiola povoada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pela gaiola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a outra tela.(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“Confirmar”.(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exclui os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 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Buscar Povoar 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b w:val="0"/>
          <w:rtl w:val="0"/>
        </w:rPr>
        <w:t xml:space="preserve">o Povoar Gaiola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Gaiola povoada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pesquisa pela gaiola que deseja Alterar.(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“Alterar”.(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nova tela que permite alterar os dados.(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Dados não válidos. Sistema exibe mensagem “Dados inválidos,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Insira novamente os dados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