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6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Montar Harém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incluir, alterar, remover ou consultar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os 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que fazem parte do Biotério.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az 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Pesquisador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Menu &gt; Manter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um menu lateral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listando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opções.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Nov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o harém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 harém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Novo Harém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 novo Harém no sistema do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“Nov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Cadastro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019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Pesquisar harém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 harém que faz parte do biotério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.781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haréns registrados e uma barra de busca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saber outras funcionalidades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harém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 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harém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exclui os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 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Buscar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harém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harém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harém que deseja Alterar.(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DD-B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iotlab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 não válidos. Sistema exibe mensagem “Dados inválidos,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Insira novamente os dados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