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Cadastrar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85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pode incluir, alterar, remover ou consultar um fornecedor que faz parte do biotério.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faz a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Pesquisador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Menu &gt; Cadastrar Fornecedor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um menu lateral listando opções...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Cadastrar: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Cadastrar Novo Fornecedor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Buscar: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Buscar Fornecedor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Novo Fornecedor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 novo Fornecedor no sistema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“Novo Cadastro”.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Cadastrar Fornecedor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botão “Salvar”.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Buscar Fornecedor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 Fornecedor que faz parte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“Buscar”.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os fornecedores e uma barra de pesquisa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nos botões “Remover, Alterar” para saber as informações </w:t>
            </w:r>
            <w:r w:rsidDel="00000000" w:rsidR="00000000" w:rsidRPr="00000000">
              <w:rPr>
                <w:rFonts w:ascii="Calibri" w:cs="Calibri" w:eastAsia="Calibri" w:hAnsi="Calibri"/>
                <w:color w:val="3c4043"/>
                <w:sz w:val="28"/>
                <w:szCs w:val="28"/>
                <w:highlight w:val="white"/>
                <w:rtl w:val="0"/>
              </w:rPr>
              <w:t xml:space="preserve">exibidas detalhadas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Fornecedor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dados do Fornecedor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Cadastrar Fornecedor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da instituição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Cadastrar fornecedor não pode ser excluído. Sistema exibe mensagem “Fornecedor não pode ser excluído.”.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Buscar Cadastrar Fornecedor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Alterar Dados do Fornecedor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dados do Cadastrar Fornecedor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Fornecedor que deseja Alterar.(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DD-Biotério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inválidos, Insira novamente os dados”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28/08/2024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