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CSU06 - Manter Locais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Almoxarife/Gestor irá cadastrar, alterar, ler ou excluir o local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autenticado no sistema de acordo com o </w:t>
            </w:r>
            <w:r w:rsidDel="00000000" w:rsidR="00000000" w:rsidRPr="00000000">
              <w:rPr>
                <w:color w:val="ff0000"/>
                <w:rtl w:val="0"/>
              </w:rPr>
              <w:t xml:space="preserve">CSU09 - Autenticar Usuário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Local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12A - ListarLocais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em Novo Material,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17A - NovoLocal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Preenchimento de todos os campos: Estado, Cidade, Prédio, Local;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Cadastrar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visualizar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Local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Local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visualiza os detalhes do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em qualquer uma de suas telas, clica em Locais,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ListarLocais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exibirá um popup com todas as informações desse local: Estado, Cidade, Prédio,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Atualizar 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Novo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Local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altera informações do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17A - NovoLocal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excluir local,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visualizar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cadastrar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Local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local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advertido sobre a exclusão do local;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OgA4dVpDQJ5N4nk+HnQivYGDA==">AMUW2mUc7pz7GpaDId+owRg6eFjByBGrP0bpDlzW8LuL5r/dr9Rc1q3HeLqVjkxaEKDFMXE9juC7hLCxbL+W16ag3lmnkJjyPdxAr/SN0ki5tei1MMT5NgE=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