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8"/>
          <w:szCs w:val="28"/>
          <w:rtl w:val="0"/>
        </w:rPr>
        <w:t xml:space="preserve">CSU04: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Autorizar OS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78 (</w:t>
            </w: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Risco Alto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setor de manutenção avalia se a OS é possível de ser atendida, autorizando-a ou rejeitando.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Setor de manutenção.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CSU11 - Autenticar-se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33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Sistema exibe informações da OS, Data, Solicitante, Local e descrição além de informações do técnico,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T9 - Autorizar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Ator avalia informações da OS e passa para um técnico responsável, podendo dar uma descrição através do campo reportar ao técnico.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Ator tem 3 botões como opções: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240" w:line="276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Autorizar: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Ver seção Autorizar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Rejeitar: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Ver seção Rejeitar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line="276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Voltar: V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er seção Voltar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="276" w:lineRule="auto"/>
              <w:ind w:lef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4. Sistema permanece nessa tela até que o ator clique num botão do item 3.</w:t>
            </w:r>
          </w:p>
        </w:tc>
      </w:tr>
      <w:tr>
        <w:trPr>
          <w:trHeight w:val="52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possui apenas o botão de voltar, porque a OS já foi autorizada em algum momento anterior e agora ela encontra-se em outro status diferente do status de aguardando autorização. Ver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T9 - Autorizar OS 1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 passo 2 da seção principal, o ator pode permitir produtos para o técnico realizar a manutenção caso ele necessite de material, ou rejeitar. Ver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T9 - Autorizar OS 1 e CSU - CSU07-GerenciarProdutosParaManterOS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276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Autorizar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autoriza um técnico para realizar atendimento daquela OS.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clica em Autorizar.</w:t>
            </w:r>
          </w:p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Sistema muda o status da OS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T10 - Atender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para um técnico que pode ter sido escolhido no passo 2 da seção principal ou por padrão qualquer um dos técnicos disponíveis pode realizar atendimento.</w:t>
            </w:r>
          </w:p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Sistema retorna ao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CSU12 - Avaliar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="276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Rejeitar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rejeita o atendimento daquela OS por algum motivo.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12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clica em rejeitar.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Sistema muda o status da OS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T10 - Atender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para rejeitado.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Sistema retorna ao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CSU12 - Avaliar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="276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Voltar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escolhe o botão voltar.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12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clica em voltar.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Sistema retorna para 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CSU12 - Avaliar 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GE3jxENDXQPjC4SNkJ37NaUOw==">AMUW2mU++lK7KLZKmv4EKV4Lkhwp2wzYHq0wSEyCFPv6A/EJ5tcZrLJMWeSUiknNbhZDMZkfPT+styKt2pkJaZxow17aoEVZtSkI9UohZGV8qS/KheQQ6lH3/ImX0EVHYpHXaNxJgLwGnbGAGMrwtTzDa9pl2/6BTCHx5qYnZl9xv/fFFfQ6ANU=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