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276" w:lineRule="auto"/>
        <w:jc w:val="center"/>
        <w:rPr>
          <w:rFonts w:hint="default" w:ascii="Arial" w:hAnsi="Arial" w:cs="Arial"/>
          <w:b/>
          <w:sz w:val="36"/>
          <w:szCs w:val="36"/>
        </w:rPr>
      </w:pPr>
      <w:bookmarkStart w:id="0" w:name="_GoBack"/>
      <w:r>
        <w:rPr>
          <w:rFonts w:hint="default" w:ascii="Arial" w:hAnsi="Arial" w:cs="Arial"/>
          <w:b/>
          <w:sz w:val="36"/>
          <w:szCs w:val="36"/>
          <w:rtl w:val="0"/>
        </w:rPr>
        <w:t>CSU09 - Manter Fornecedor</w:t>
      </w:r>
    </w:p>
    <w:p>
      <w:pPr>
        <w:spacing w:line="276" w:lineRule="auto"/>
        <w:jc w:val="center"/>
        <w:rPr>
          <w:rFonts w:hint="default" w:ascii="Arial" w:hAnsi="Arial" w:cs="Arial"/>
          <w:b/>
          <w:color w:val="FF0000"/>
          <w:sz w:val="36"/>
          <w:szCs w:val="36"/>
        </w:rPr>
      </w:pPr>
    </w:p>
    <w:p>
      <w:pPr>
        <w:spacing w:line="276" w:lineRule="auto"/>
        <w:rPr>
          <w:rFonts w:hint="default" w:ascii="Arial" w:hAnsi="Arial" w:cs="Arial"/>
        </w:rPr>
      </w:pPr>
      <w:r>
        <w:rPr>
          <w:rFonts w:hint="default" w:ascii="Arial" w:hAnsi="Arial" w:cs="Arial"/>
          <w:b/>
          <w:rtl w:val="0"/>
        </w:rPr>
        <w:t xml:space="preserve">Seção: </w:t>
      </w:r>
      <w:r>
        <w:rPr>
          <w:rFonts w:hint="default" w:ascii="Arial" w:hAnsi="Arial" w:cs="Arial"/>
          <w:rtl w:val="0"/>
        </w:rPr>
        <w:t>Principal</w:t>
      </w:r>
    </w:p>
    <w:p>
      <w:pPr>
        <w:spacing w:line="276" w:lineRule="auto"/>
        <w:rPr>
          <w:rFonts w:hint="default" w:ascii="Arial" w:hAnsi="Arial" w:cs="Arial"/>
          <w:b/>
        </w:rPr>
      </w:pPr>
    </w:p>
    <w:tbl>
      <w:tblPr>
        <w:tblStyle w:val="13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9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Importância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50 (Baixo risco e baixa prioridade 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Sumário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O Almoxarife/Gestor irá cadastrar, alterar, ler ou excluir o fornecedor solicitado.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Ator Primário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Almoxarife e Gestor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Ator Secundário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Pré-Condição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O ator deve estar autenticado no sistema de acordo com o </w:t>
            </w:r>
            <w:r>
              <w:rPr>
                <w:rFonts w:hint="default" w:ascii="Arial" w:hAnsi="Arial" w:cs="Arial"/>
                <w:color w:val="FF0000"/>
                <w:rtl w:val="0"/>
              </w:rPr>
              <w:t>CSU17 - Autenticar Pessoa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Pós-Condição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Ator clica no botão Fornecedor e é redirecionado para a tela</w:t>
            </w:r>
            <w:r>
              <w:rPr>
                <w:rFonts w:hint="default" w:ascii="Arial" w:hAnsi="Arial" w:cs="Arial"/>
                <w:color w:val="FF0000"/>
                <w:rtl w:val="0"/>
              </w:rPr>
              <w:t xml:space="preserve"> 11A - ListarFornecedor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clica em Novo Fornecedor, é redirecionado para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16A - NovoFornecedor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Preenchimento de todos os campos: Código, Nome, Telefone, Endereço, Categoria;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clica no botão Cadastrar e é redirecionado para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11A - ListarFornecedor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4: </w:t>
            </w:r>
            <w:r>
              <w:rPr>
                <w:rFonts w:hint="default" w:ascii="Arial" w:hAnsi="Arial" w:cs="Arial"/>
                <w:rtl w:val="0"/>
              </w:rPr>
              <w:t>Ator não preenche todos os dados corretamente e volta para o passo 3.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left="720" w:hanging="36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Alternativo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deseja visualizar o </w:t>
            </w:r>
            <w:r>
              <w:rPr>
                <w:rFonts w:hint="default" w:ascii="Arial" w:hAnsi="Arial" w:cs="Arial"/>
                <w:rtl w:val="0"/>
                <w:lang w:val="pt-PT"/>
              </w:rPr>
              <w:t>fornecedor</w:t>
            </w:r>
            <w:r>
              <w:rPr>
                <w:rFonts w:hint="default" w:ascii="Arial" w:hAnsi="Arial" w:cs="Arial"/>
                <w:rtl w:val="0"/>
              </w:rPr>
              <w:t xml:space="preserve">, ver Seção </w:t>
            </w:r>
            <w:r>
              <w:rPr>
                <w:rFonts w:hint="default" w:ascii="Arial" w:hAnsi="Arial" w:cs="Arial"/>
                <w:color w:val="FF0000"/>
                <w:rtl w:val="0"/>
              </w:rPr>
              <w:t>Visualizar Fornecedor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  <w:p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deseja alterar o </w:t>
            </w:r>
            <w:r>
              <w:rPr>
                <w:rFonts w:hint="default" w:ascii="Arial" w:hAnsi="Arial" w:cs="Arial"/>
                <w:rtl w:val="0"/>
                <w:lang w:val="pt-PT"/>
              </w:rPr>
              <w:t>fornecedor</w:t>
            </w:r>
            <w:r>
              <w:rPr>
                <w:rFonts w:hint="default" w:ascii="Arial" w:hAnsi="Arial" w:cs="Arial"/>
                <w:rtl w:val="0"/>
              </w:rPr>
              <w:t xml:space="preserve">, ver Seção </w:t>
            </w:r>
            <w:r>
              <w:rPr>
                <w:rFonts w:hint="default" w:ascii="Arial" w:hAnsi="Arial" w:cs="Arial"/>
                <w:color w:val="FF0000"/>
                <w:rtl w:val="0"/>
              </w:rPr>
              <w:t>Alterar Fornecedor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  <w:p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deseja excluir o </w:t>
            </w:r>
            <w:r>
              <w:rPr>
                <w:rFonts w:hint="default" w:ascii="Arial" w:hAnsi="Arial" w:cs="Arial"/>
                <w:rtl w:val="0"/>
                <w:lang w:val="pt-PT"/>
              </w:rPr>
              <w:t>fornecedor</w:t>
            </w:r>
            <w:r>
              <w:rPr>
                <w:rFonts w:hint="default" w:ascii="Arial" w:hAnsi="Arial" w:cs="Arial"/>
                <w:rtl w:val="0"/>
              </w:rPr>
              <w:t xml:space="preserve">, ver Seção </w:t>
            </w:r>
            <w:r>
              <w:rPr>
                <w:rFonts w:hint="default" w:ascii="Arial" w:hAnsi="Arial" w:cs="Arial"/>
                <w:color w:val="FF0000"/>
                <w:rtl w:val="0"/>
              </w:rPr>
              <w:t>Excluir Fornecedor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</w:tbl>
    <w:p>
      <w:pPr>
        <w:spacing w:line="276" w:lineRule="auto"/>
        <w:rPr>
          <w:rFonts w:hint="default" w:ascii="Arial" w:hAnsi="Arial" w:cs="Arial"/>
        </w:rPr>
      </w:pPr>
    </w:p>
    <w:p>
      <w:pPr>
        <w:spacing w:line="276" w:lineRule="auto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b/>
          <w:rtl w:val="0"/>
        </w:rPr>
        <w:t xml:space="preserve">Seção: </w:t>
      </w:r>
      <w:r>
        <w:rPr>
          <w:rFonts w:hint="default" w:ascii="Arial" w:hAnsi="Arial" w:cs="Arial"/>
          <w:rtl w:val="0"/>
        </w:rPr>
        <w:t xml:space="preserve">Visualizar </w:t>
      </w:r>
      <w:r>
        <w:rPr>
          <w:rFonts w:hint="default" w:ascii="Arial" w:hAnsi="Arial" w:cs="Arial"/>
          <w:rtl w:val="0"/>
          <w:lang w:val="pt-PT"/>
        </w:rPr>
        <w:t>Fornecedor</w:t>
      </w:r>
    </w:p>
    <w:p>
      <w:pPr>
        <w:spacing w:line="276" w:lineRule="auto"/>
        <w:rPr>
          <w:rFonts w:hint="default" w:ascii="Arial" w:hAnsi="Arial" w:cs="Arial"/>
        </w:rPr>
      </w:pPr>
    </w:p>
    <w:tbl>
      <w:tblPr>
        <w:tblStyle w:val="14"/>
        <w:tblW w:w="902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Sumário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Ator visualiza os detalhes do fornecedor.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em qualquer uma de suas telas, clica em Fornecedor, e é 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11A - ListarFornecedor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Ator seleciona o ícone de olho após escolher ou filtrar o fornecedor desejado;</w:t>
            </w:r>
          </w:p>
          <w:p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Sistema exibirá um</w:t>
            </w:r>
            <w:r>
              <w:rPr>
                <w:rFonts w:hint="default" w:ascii="Arial" w:hAnsi="Arial" w:cs="Arial"/>
                <w:rtl w:val="0"/>
                <w:lang w:val="pt-PT"/>
              </w:rPr>
              <w:t xml:space="preserve">a tela semelhante a </w:t>
            </w:r>
            <w:r>
              <w:rPr>
                <w:rFonts w:hint="default" w:ascii="Arial" w:hAnsi="Arial" w:cs="Arial"/>
                <w:color w:val="FF0000"/>
                <w:rtl w:val="0"/>
              </w:rPr>
              <w:t>16A - NovoFornecedor</w:t>
            </w:r>
            <w:r>
              <w:rPr>
                <w:rFonts w:hint="default" w:ascii="Arial" w:hAnsi="Arial" w:cs="Arial"/>
                <w:rtl w:val="0"/>
                <w:lang w:val="pt-PT"/>
              </w:rPr>
              <w:t xml:space="preserve"> de uma forma mais clara </w:t>
            </w:r>
            <w:r>
              <w:rPr>
                <w:rFonts w:hint="default" w:ascii="Arial" w:hAnsi="Arial" w:cs="Arial"/>
                <w:rtl w:val="0"/>
              </w:rPr>
              <w:t xml:space="preserve">com todas as informações desse </w:t>
            </w:r>
            <w:r>
              <w:rPr>
                <w:rFonts w:hint="default" w:ascii="Arial" w:hAnsi="Arial" w:cs="Arial"/>
                <w:rtl w:val="0"/>
                <w:lang w:val="pt-PT"/>
              </w:rPr>
              <w:t>fornecedor</w:t>
            </w:r>
            <w:r>
              <w:rPr>
                <w:rFonts w:hint="default" w:ascii="Arial" w:hAnsi="Arial" w:cs="Arial"/>
                <w:rtl w:val="0"/>
              </w:rPr>
              <w:t>: Código, Nome, Telefone, Endereço, Categoria.</w:t>
            </w:r>
          </w:p>
        </w:tc>
      </w:tr>
    </w:tbl>
    <w:p>
      <w:pPr>
        <w:spacing w:line="276" w:lineRule="auto"/>
        <w:rPr>
          <w:rFonts w:hint="default" w:ascii="Arial" w:hAnsi="Arial" w:cs="Arial"/>
        </w:rPr>
      </w:pPr>
      <w:r>
        <w:rPr>
          <w:rFonts w:hint="default" w:ascii="Arial" w:hAnsi="Arial" w:cs="Arial"/>
          <w:b/>
          <w:rtl w:val="0"/>
        </w:rPr>
        <w:t>Seção:</w:t>
      </w:r>
      <w:r>
        <w:rPr>
          <w:rFonts w:hint="default" w:ascii="Arial" w:hAnsi="Arial" w:cs="Arial"/>
          <w:rtl w:val="0"/>
        </w:rPr>
        <w:t xml:space="preserve"> Alterar Fornecedor</w:t>
      </w:r>
    </w:p>
    <w:p>
      <w:pPr>
        <w:spacing w:line="276" w:lineRule="auto"/>
        <w:rPr>
          <w:rFonts w:hint="default" w:ascii="Arial" w:hAnsi="Arial" w:cs="Arial"/>
        </w:rPr>
      </w:pPr>
    </w:p>
    <w:tbl>
      <w:tblPr>
        <w:tblStyle w:val="15"/>
        <w:tblW w:w="902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Sumário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Ator altera informações do Fornecedor.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Fluxo Principal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>1.</w:t>
            </w:r>
            <w:r>
              <w:rPr>
                <w:rFonts w:hint="default" w:ascii="Arial" w:hAnsi="Arial" w:cs="Arial"/>
                <w:rtl w:val="0"/>
              </w:rPr>
              <w:t xml:space="preserve"> Ator está na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11A - ListarFornecedor</w:t>
            </w:r>
            <w:r>
              <w:rPr>
                <w:rFonts w:hint="default" w:ascii="Arial" w:hAnsi="Arial" w:cs="Arial"/>
                <w:rtl w:val="0"/>
              </w:rPr>
              <w:t xml:space="preserve"> e clicará no ícone de lápis;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>2.</w:t>
            </w:r>
            <w:r>
              <w:rPr>
                <w:rFonts w:hint="default" w:ascii="Arial" w:hAnsi="Arial" w:cs="Arial"/>
                <w:rtl w:val="0"/>
              </w:rPr>
              <w:t xml:space="preserve"> Sistema redicionará o ator para uma tela semelhante à </w:t>
            </w:r>
            <w:r>
              <w:rPr>
                <w:rFonts w:hint="default" w:ascii="Arial" w:hAnsi="Arial" w:cs="Arial"/>
                <w:color w:val="FF0000"/>
                <w:rtl w:val="0"/>
              </w:rPr>
              <w:t>16A - NovoFornecedor</w:t>
            </w:r>
            <w:r>
              <w:rPr>
                <w:rFonts w:hint="default" w:ascii="Arial" w:hAnsi="Arial" w:cs="Arial"/>
                <w:rtl w:val="0"/>
              </w:rPr>
              <w:t xml:space="preserve"> com os campos alteráveis desbloqueados para as alterações necessárias pelo ator;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>3.</w:t>
            </w:r>
            <w:r>
              <w:rPr>
                <w:rFonts w:hint="default" w:ascii="Arial" w:hAnsi="Arial" w:cs="Arial"/>
                <w:rtl w:val="0"/>
              </w:rPr>
              <w:t xml:space="preserve"> Ator clica no botão “Atualizar” e é redirecionado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11A - ListarFornecedor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3: </w:t>
            </w:r>
            <w:r>
              <w:rPr>
                <w:rFonts w:hint="default" w:ascii="Arial" w:hAnsi="Arial" w:cs="Arial"/>
                <w:rtl w:val="0"/>
              </w:rPr>
              <w:t xml:space="preserve">Ator clica no botão “Cancelar” e é redirecionado para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11A - ListarFornecedor</w:t>
            </w:r>
          </w:p>
        </w:tc>
      </w:tr>
    </w:tbl>
    <w:p>
      <w:pPr>
        <w:spacing w:line="276" w:lineRule="auto"/>
        <w:rPr>
          <w:rFonts w:hint="default" w:ascii="Arial" w:hAnsi="Arial" w:cs="Arial"/>
        </w:rPr>
      </w:pPr>
    </w:p>
    <w:p>
      <w:pPr>
        <w:spacing w:line="276" w:lineRule="auto"/>
        <w:rPr>
          <w:rFonts w:hint="default" w:ascii="Arial" w:hAnsi="Arial" w:cs="Arial"/>
          <w:b/>
        </w:rPr>
      </w:pPr>
    </w:p>
    <w:p>
      <w:pPr>
        <w:spacing w:line="276" w:lineRule="auto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b/>
          <w:rtl w:val="0"/>
        </w:rPr>
        <w:t>Seção:</w:t>
      </w:r>
      <w:r>
        <w:rPr>
          <w:rFonts w:hint="default" w:ascii="Arial" w:hAnsi="Arial" w:cs="Arial"/>
          <w:rtl w:val="0"/>
        </w:rPr>
        <w:t xml:space="preserve"> Excluir </w:t>
      </w:r>
      <w:r>
        <w:rPr>
          <w:rFonts w:hint="default" w:ascii="Arial" w:hAnsi="Arial" w:cs="Arial"/>
          <w:rtl w:val="0"/>
          <w:lang w:val="pt-PT"/>
        </w:rPr>
        <w:t>Fornecedor</w:t>
      </w:r>
    </w:p>
    <w:p>
      <w:pPr>
        <w:spacing w:line="276" w:lineRule="auto"/>
        <w:rPr>
          <w:rFonts w:hint="default" w:ascii="Arial" w:hAnsi="Arial" w:cs="Arial"/>
        </w:rPr>
      </w:pPr>
    </w:p>
    <w:tbl>
      <w:tblPr>
        <w:tblStyle w:val="16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Sumário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exclui </w:t>
            </w:r>
            <w:r>
              <w:rPr>
                <w:rFonts w:hint="default" w:ascii="Arial" w:hAnsi="Arial" w:cs="Arial"/>
                <w:rtl w:val="0"/>
                <w:lang w:val="pt-PT"/>
              </w:rPr>
              <w:t xml:space="preserve">fornecedor </w:t>
            </w:r>
            <w:r>
              <w:rPr>
                <w:rFonts w:hint="default" w:ascii="Arial" w:hAnsi="Arial" w:cs="Arial"/>
                <w:rtl w:val="0"/>
              </w:rPr>
              <w:t>do sistema.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Fluxo Principal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1. Ator está na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11A - ListarFornecedor,</w:t>
            </w:r>
            <w:r>
              <w:rPr>
                <w:rFonts w:hint="default" w:ascii="Arial" w:hAnsi="Arial" w:cs="Arial"/>
                <w:rtl w:val="0"/>
              </w:rPr>
              <w:t xml:space="preserve"> e clicará no ícone de lixeira;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2. Ator é advertido</w:t>
            </w:r>
            <w:r>
              <w:rPr>
                <w:rFonts w:hint="default" w:ascii="Arial" w:hAnsi="Arial" w:cs="Arial"/>
                <w:rtl w:val="0"/>
                <w:lang w:val="pt-PT"/>
              </w:rPr>
              <w:t xml:space="preserve"> em um popup</w:t>
            </w:r>
            <w:r>
              <w:rPr>
                <w:rFonts w:hint="default" w:ascii="Arial" w:hAnsi="Arial" w:cs="Arial"/>
                <w:rtl w:val="0"/>
              </w:rPr>
              <w:t xml:space="preserve"> sobre a exclusão do fornecedor;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3. Ator confirma a exclusão clicando em “Sim”</w:t>
            </w:r>
            <w:r>
              <w:rPr>
                <w:rFonts w:hint="default" w:ascii="Arial" w:hAnsi="Arial" w:cs="Arial"/>
                <w:rtl w:val="0"/>
                <w:lang w:val="pt-PT"/>
              </w:rPr>
              <w:t xml:space="preserve"> e sistema recarrega a página</w:t>
            </w:r>
            <w:r>
              <w:rPr>
                <w:rFonts w:hint="default" w:ascii="Arial" w:hAnsi="Arial" w:cs="Arial"/>
                <w:rtl w:val="0"/>
              </w:rPr>
              <w:t xml:space="preserve">.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3: </w:t>
            </w:r>
            <w:r>
              <w:rPr>
                <w:rFonts w:hint="default" w:ascii="Arial" w:hAnsi="Arial" w:cs="Arial"/>
                <w:rtl w:val="0"/>
              </w:rPr>
              <w:t xml:space="preserve">Ator clica no botão “Cancelar” </w:t>
            </w:r>
            <w:r>
              <w:rPr>
                <w:rFonts w:hint="default" w:ascii="Arial" w:hAnsi="Arial" w:cs="Arial"/>
                <w:rtl w:val="0"/>
                <w:lang w:val="pt-PT"/>
              </w:rPr>
              <w:t>permanecendo n</w:t>
            </w:r>
            <w:r>
              <w:rPr>
                <w:rFonts w:hint="default" w:ascii="Arial" w:hAnsi="Arial" w:cs="Arial"/>
                <w:rtl w:val="0"/>
              </w:rPr>
              <w:t xml:space="preserve">a tela  </w:t>
            </w:r>
            <w:r>
              <w:rPr>
                <w:rFonts w:hint="default" w:ascii="Arial" w:hAnsi="Arial" w:cs="Arial"/>
                <w:color w:val="FF0000"/>
                <w:rtl w:val="0"/>
              </w:rPr>
              <w:t>11A - ListarFornecedor.</w:t>
            </w:r>
          </w:p>
        </w:tc>
      </w:tr>
    </w:tbl>
    <w:p>
      <w:pPr>
        <w:spacing w:line="276" w:lineRule="auto"/>
        <w:rPr>
          <w:rFonts w:hint="default" w:ascii="Arial" w:hAnsi="Arial" w:cs="Arial"/>
        </w:rPr>
      </w:pPr>
    </w:p>
    <w:p>
      <w:pPr>
        <w:spacing w:line="276" w:lineRule="auto"/>
        <w:rPr>
          <w:rFonts w:hint="default" w:ascii="Arial" w:hAnsi="Arial" w:cs="Arial"/>
        </w:rPr>
      </w:pPr>
    </w:p>
    <w:tbl>
      <w:tblPr>
        <w:tblStyle w:val="17"/>
        <w:tblW w:w="902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9"/>
        <w:gridCol w:w="3009"/>
        <w:gridCol w:w="30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Histórico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Data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Nome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Alteração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07/12/2020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Rafael Silveira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Criação do Caso de Uso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10/12/2020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Daniel Santos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Revisão</w:t>
            </w:r>
          </w:p>
        </w:tc>
      </w:tr>
    </w:tbl>
    <w:p>
      <w:pPr>
        <w:spacing w:line="276" w:lineRule="auto"/>
        <w:rPr>
          <w:rFonts w:hint="default" w:ascii="Arial" w:hAnsi="Arial" w:cs="Arial"/>
        </w:rPr>
      </w:pPr>
    </w:p>
    <w:bookmarkEnd w:id="0"/>
    <w:sectPr>
      <w:pgSz w:w="11906" w:h="16838"/>
      <w:pgMar w:top="1700" w:right="1133" w:bottom="1133" w:left="170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文鼎ＰＬ简中楷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F7B1D9"/>
    <w:multiLevelType w:val="multilevel"/>
    <w:tmpl w:val="9FF7B1D9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966EB03"/>
    <w:multiLevelType w:val="multilevel"/>
    <w:tmpl w:val="6966EB03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3B1E330"/>
    <w:multiLevelType w:val="multilevel"/>
    <w:tmpl w:val="73B1E330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FB6425F"/>
    <w:multiLevelType w:val="multilevel"/>
    <w:tmpl w:val="7FB6425F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isplayBackgroundShape w:val="true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DF6D130"/>
    <w:rsid w:val="FFDB61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Office_11.1.0.9711_F1E327BC-269C-435d-A152-05C5408002CA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2020-12-10T08:44:00Z</dcterms:created>
  <dc:creator>daniel</dc:creator>
  <cp:lastModifiedBy>daniel</cp:lastModifiedBy>
  <dcterms:modified xsi:type="dcterms:W3CDTF">2020-12-10T12:43:23Z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