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CSU10 - Manter Material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material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Ator clica no botão Material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14A - ListarMaterial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18A - NovoMaterial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Preenchimento de todos os campos: Código, Nome, Código para o Fornecedor, Valor e Tipo;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Material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visualiza os detalhes do material.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em qualquer uma de suas telas, clica em Material,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produto: Código, Nome, Tipo e Valor.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Produto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Produto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Novo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Material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altera informações do material.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18A - NovoMaterial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material,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visualizar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deseja cadastrar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Material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material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produto;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da Descrição do Caso de Uso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at3bzg4HaaPnZXnRWAWJ7XB0A==">AMUW2mVkTPV5W+hM3CXmNL+vHoVpGqEWn/XioFnsg3u4G3IXxLr6+lxo6EdzLb28901z/3VEIKYRTK6bkjBKGvC4hXGdDyhKiYqtIGRt8xK1DXWS/Xk8e40=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