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CSU10 - Manter Material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 (Risco Baixo e Prioridade 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Gestor irá cadastrar, alterar, ler ou excluir o material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Almoxarife e 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ator fez a rotina de autenticação no sistema conforme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Ator clica no botão Material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14A - ListarMaterial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Ator clica em Novo Material,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18A - NovoMaterial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Preenchimento de todos os campos: Código, Nome, Código para o Fornecedor, Valor e Tipo;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Ator clica no botão Cadastrar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deseja visualizar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alterar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excluir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Material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visualiza os detalhes do material.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Ator em qualquer uma de suas telas, clica em Material,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material desejado;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exibirá um popup com todas as informações deste produto: Código, Nome, Tipo, Fornecedor e Valor.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Produto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Atualizar Produto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Novo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Material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altera informações do material.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</w:t>
            </w:r>
            <w:r w:rsidDel="00000000" w:rsidR="00000000" w:rsidRPr="00000000">
              <w:rPr>
                <w:rtl w:val="0"/>
              </w:rPr>
              <w:t xml:space="preserve">redicionará</w:t>
            </w:r>
            <w:r w:rsidDel="00000000" w:rsidR="00000000" w:rsidRPr="00000000">
              <w:rPr>
                <w:rtl w:val="0"/>
              </w:rPr>
              <w:t xml:space="preserve">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18A - NovoMaterial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excluir material,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Ator deseja visualizar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deseja cadastrar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Material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material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 e clicará no ícone de lixeira;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notificado com um popup sobre a exclusão do produto;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ListarMateriais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da Descrição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 da Descrição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Revisão da Descrição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da Descrição do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Wagner Prata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da Descrição do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at3bzg4HaaPnZXnRWAWJ7XB0A==">AMUW2mUI7qmzNzIDswSmxh9a04c1BK3FCvcBJj97Rif1xzurqOxEfzJ/N6pny1MkrFsh47OD889olr1ePeBgf8MlC1tEiGo2vPQGpJA86Be6QnGtD/9AZBI=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