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CSU11 - Manter Locais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Almoxarife/Gestor irá cadastrar, alterar, ler ou excluir o local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autenticado no sistema de acordo com 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 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Local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12A - ListarLocais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em Novo Material,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17A - NovoLocal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Preenchimento de todos os campos: Estado, Cidade, Prédio, Local;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Cadastrar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visualizar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Local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Local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visualiza os detalhes do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em qualquer uma de suas telas, clica em Locais,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ListarLocais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exibirá um popup com todas as informações desse local: Estado, Cidade, Prédio,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Novo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Local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altera informações do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17A - NovoLocal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excluir local,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visualizar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cadastrar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Local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local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advertido sobre a exclusão do local;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OgA4dVpDQJ5N4nk+HnQivYGDA==">AMUW2mX4zCq5kiwRCGMcFfx/o0DD/0zcuRXlynBJg9uaOHd73+IINAt6eARMcJXoOvq8x21Yys3d7NfN+gBCVYV62VVcOhmDwOqZjt15++vWSRLuehezAt4=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