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CSU12 - Manter Patrimônio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 (Risco Baixo e Prioridade 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Gestor irá cadastrar, alterar, ler ou excluir o material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ator fez a rotina de autenticação no sistema conforme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Ator clica no botão histórico de patrimônio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24G - ManterPatrimonio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Ator clica em Novo Patrimônio,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25G -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NovoPatrimonio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Preenchimento de todos os campos: Nome,Tipo, Local e Valor;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Ator clica no botão Cadastrar Patrimônio e ele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24G - ManterPatrimonio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deseja visualizar o Patrimônio,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deseja alterar o Patrimônio,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Patrimônio.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deseja excluir o Patrimônio,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Patrimônio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visualiza os detalhes do Patrimônio.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 em qualquer uma de suas telas, clica em Histórico de Patrimônio,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24G - ManterPatrimonio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exibirá um popup com todas as informações deste produto: Nome, Tipo, Local  e o Valor.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Patrimônio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Patrimônio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Novo Patrimônio,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Material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altera informações do Patrimônio.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24G - 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ManterPatrimoni</w:t>
            </w:r>
            <w:r w:rsidDel="00000000" w:rsidR="00000000" w:rsidRPr="00000000">
              <w:rPr>
                <w:color w:val="ff000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redirecionar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25G -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NovoPatrimonio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24G - ManterPatrimonio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24G - ManterPatrimonio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excluir material,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visualizar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deseja cadastrar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Material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Patrimônio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24G - ManterPatrimonio </w:t>
            </w:r>
            <w:r w:rsidDel="00000000" w:rsidR="00000000" w:rsidRPr="00000000">
              <w:rPr>
                <w:rtl w:val="0"/>
              </w:rPr>
              <w:t xml:space="preserve">e clicará no ícone de lixeira;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notificado com um popup sobre a exclusão do produto;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24G - ManterPatrimonio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 Prata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da Descrição do Caso de Uso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cXfewrHVFNU+xZLd9QRNGWsfg==">AMUW2mUOEGEPTn9y959ONOmlfNXcCTx7qafoP6I94s5FH54LBW2B7y7+OT2Q5D/G9InlEHfZpz6nvNrYqAr1LmO34QJXi3kfYwGI1jA08cNl36SRpYmRj1U=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