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CSU15 - Manter Tipo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material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Ator clica no botão Tipo de Serviço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Ator clica em Novo Tipo de Serviço, é 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36G -  NovoTipoServico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Preenchimento de todos os campos: Código e Nome;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 e ele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2.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deseja visualizar o Tipo  de Serviço</w:t>
            </w:r>
            <w:r w:rsidDel="00000000" w:rsidR="00000000" w:rsidRPr="00000000">
              <w:rPr>
                <w:color w:val="ff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alterar o Tipo 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Patrimônio.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o Tipo  de Serviço,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o Tipo  de Serviço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visualiza os detalhes do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em qualquer uma de suas telas, clica em Tipo de Patrimônio,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exibirá um popup com todas as informações do Tipo  de Serviço: Código e Nome.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 o Tipo  de Serviço;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o Tipo  de Serviço;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Novo Patrimônio,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Tipo  de Serviço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altera informações do tipo  de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redirecionar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36G -  NovoTipoServico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material,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visualizar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Patrimônio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deseja cadastrar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o Tipo  de Serviço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o tipo  de serviço.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 </w:t>
            </w:r>
            <w:r w:rsidDel="00000000" w:rsidR="00000000" w:rsidRPr="00000000">
              <w:rPr>
                <w:rtl w:val="0"/>
              </w:rPr>
              <w:t xml:space="preserve">e clicará no ícone de lixeira;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notificado com um popup sobre a exclusão do Tipo  de Serviço;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35G - ListaTipoServico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 Prata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 Prata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Caso de Uso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