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shd w:fill="auto" w:val="clear"/>
          <w:vertAlign w:val="baseline"/>
          <w:rtl w:val="0"/>
        </w:rPr>
        <w:t xml:space="preserve">CSU06: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Realizar Devolução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cliente realiza a devolução do aluguel.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Proprietário do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ator fez a escolha do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Cliente pode realizar avaliação.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tor na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- 16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seção aluguéis ativos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 históricos, é exibido uma caixa de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confirmação do local da devolução.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pode escolher entre "Sim" e "Não".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Após a confirmação, o Sistema notifica o proprietário da confirmação.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cliente não realiza a devolução“Devolução não realizada” cliente e notificado sobre a multa.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Cliente realiza a devolução no local errado. Sistema notifica ao cliente com a mensagem “Devolução feita no local errado”.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31/07/2023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Marcos Venício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Revisao o CSU06-Realizar Devolução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Marcos Venício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Incersão das referências aos protótipos no CSU06-Realizar Devolução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