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80" w:rsidRDefault="00130E80" w:rsidP="00130E80">
      <w:pPr>
        <w:pStyle w:val="Ttulo"/>
        <w:rPr>
          <w:sz w:val="24"/>
        </w:rPr>
      </w:pPr>
      <w:r>
        <w:t>Especificação de Requisitos</w:t>
      </w:r>
    </w:p>
    <w:p w:rsidR="00130E80" w:rsidRDefault="00130E80" w:rsidP="00130E80">
      <w:pPr>
        <w:jc w:val="both"/>
        <w:rPr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tabs>
                <w:tab w:val="left" w:pos="760"/>
              </w:tabs>
              <w:spacing w:line="0" w:lineRule="atLeast"/>
            </w:pPr>
            <w:r>
              <w:t>RU016 – Receber Notificação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O usuário confirma no site deseja receber notificações toda vez</w:t>
            </w:r>
            <w:r w:rsidR="00E54CC7">
              <w:t xml:space="preserve"> que</w:t>
            </w:r>
            <w:r>
              <w:t xml:space="preserve"> tiver novidades no site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Receber Notificação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recebe notificações do aplicativo avisando sobre novidades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Receber notificação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acessa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Sistema disponibiliza opção para o usuário de receber notificação na página do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2"/>
              </w:numPr>
            </w:pPr>
            <w:r>
              <w:t xml:space="preserve">Usuário confirma que quer receber notificação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2"/>
              </w:numPr>
            </w:pPr>
            <w:r>
              <w:t>Sistema notifica usuário sempre que for anunciado um novo produto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não confirma interesse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não confirma que quer receber notificação, então, o sistema não o notifica.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Média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RU001 – Cadastrar 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D20B3E">
            <w:pPr>
              <w:pStyle w:val="TableContents"/>
              <w:jc w:val="both"/>
            </w:pPr>
            <w:bookmarkStart w:id="0" w:name="_GoBack"/>
            <w:r>
              <w:t>O usuário poderá se cadastrar no site para te</w:t>
            </w:r>
            <w:r w:rsidR="00D20B3E">
              <w:t>r acesso as funcionalidades com o</w:t>
            </w:r>
            <w:r>
              <w:t xml:space="preserve"> poder </w:t>
            </w:r>
            <w:r w:rsidR="00D20B3E">
              <w:t xml:space="preserve">de </w:t>
            </w:r>
            <w:r>
              <w:t>se comunicar com o anunciante e com o administrador, poder fazer compras no site e também poder se tornar anunciante;</w:t>
            </w:r>
            <w:bookmarkEnd w:id="0"/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clica na opção ‘Nova Conta’ no menu do site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ser redirecionado para a página do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lastRenderedPageBreak/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Cadastrar novo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O usuário clica na opção do menu “Criar Conta”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Sistema redireciona usuário para página de cadastro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  <w:p w:rsidR="00130E80" w:rsidRDefault="00130E80" w:rsidP="00405582">
            <w:pPr>
              <w:pStyle w:val="TableContents"/>
              <w:numPr>
                <w:ilvl w:val="0"/>
                <w:numId w:val="3"/>
              </w:numPr>
            </w:pPr>
            <w:r>
              <w:t xml:space="preserve">Usuário digita seu nome, </w:t>
            </w:r>
            <w:proofErr w:type="spellStart"/>
            <w:r>
              <w:t>email</w:t>
            </w:r>
            <w:proofErr w:type="spellEnd"/>
            <w:r>
              <w:t xml:space="preserve"> e nova senha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3"/>
              </w:numPr>
            </w:pPr>
            <w:r>
              <w:t>Sistema verifica dados do usuário e guarda dados no banco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3"/>
              </w:numPr>
            </w:pPr>
            <w:r>
              <w:t>Sistema redireciona usuário para página do usuário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3"/>
              </w:numPr>
            </w:pPr>
            <w:r>
              <w:t>Usuário visualiza página de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 de fazer cadastro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desiste de fazer cadastro no sistema e clica em ‘cancelar’. Usuário é redirecionado para a página principal do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 xml:space="preserve">Fluxo Alternativo: 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2.2 Usuário usa redes sociais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clica no link de rede sociais e utiliza dados de rede social para fazer cadastro no aplicativo e confirma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Usuário já cadastrado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Sistema encontra dados do usuário no banco de dados e retorna mensagem ‘Usuário já cadastrado no aplicativo’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&lt;REN005&gt;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r>
              <w:t>RU002 – Modificar Perfil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Usuário poderá atualizar seus dados de perfil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clicar na opção Modificar perfil na página do 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modificou dados do perfil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Modificar perfil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O usuário acessa a página de </w:t>
            </w:r>
            <w:proofErr w:type="spellStart"/>
            <w:r>
              <w:t>login</w:t>
            </w:r>
            <w:proofErr w:type="spellEnd"/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Usuário digita seu </w:t>
            </w:r>
            <w:proofErr w:type="spellStart"/>
            <w:r>
              <w:t>email</w:t>
            </w:r>
            <w:proofErr w:type="spellEnd"/>
            <w:r>
              <w:t xml:space="preserve"> e senha e confirma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t xml:space="preserve">Sistema verifica dados do usuário e encontra dados no banco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t>Sistema redireciona usuário para página do usuário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t>Usuário visualiza página de usuário e clica na opção ‘modificar perfil’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lastRenderedPageBreak/>
              <w:t>Sistema redireciona usuário para página de modificação de perfil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t>Usuário faz as devidas atualizações nos dados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t>Sistema atualiza dados do usuário no banco de dados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4"/>
              </w:numPr>
            </w:pPr>
            <w:r>
              <w:t>Sistema volta para a página do usuário, agora com os dados atualizados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 de modificar dados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desiste de modificar dados e não confirma. Usuário clica em ‘cancelar’ e é redirecionado para a página do 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&lt;Título do Fluxo de Exceção&gt;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Média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RU003 – Comprar produto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------------------------------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Usuário pode a qualquer momento comprar um dos produtos disponíveis no site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clica na opção ‘comprar’ na página do produto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conseguiu comprar produto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Comprar produto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O usuário na página do usuário, clica na opção ‘Comprar’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Usuário escolhe uma das opções de pagamento e confirma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5"/>
              </w:numPr>
            </w:pPr>
            <w:r>
              <w:t xml:space="preserve">Sistema redireciona usuário para página de pagamento do </w:t>
            </w:r>
            <w:proofErr w:type="spellStart"/>
            <w:r>
              <w:t>paypal</w:t>
            </w:r>
            <w:proofErr w:type="spellEnd"/>
          </w:p>
          <w:p w:rsidR="00130E80" w:rsidRDefault="00130E80" w:rsidP="00405582">
            <w:pPr>
              <w:pStyle w:val="TableContents"/>
              <w:numPr>
                <w:ilvl w:val="0"/>
                <w:numId w:val="5"/>
              </w:numPr>
            </w:pPr>
            <w:r>
              <w:t>Usuário escolhe opção de pagamento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5"/>
              </w:numPr>
            </w:pPr>
            <w:r>
              <w:t>Sistema processa a compra e finaliza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 de comprar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desiste de comprar e não confirma opção de pagamento. Usuário clica em ‘cancelar’ e é redirecionado pelo sistema para a página principal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&lt;Título do Fluxo de Exceção&gt;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&lt;RE002&gt;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rPr>
          <w:trHeight w:val="90"/>
        </w:trPr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r>
              <w:t>RU006 – Contatar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Usuário consegue entrar em contato com anunciante para tirar dúvidas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O usuário digita sua pergunta na área de texto localizada na página do produto e envia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 e devem ter anúncios sendo divulgados no site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conseguiu entrar em contato com o anunciante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Entrar em contato com anunciante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O usuário visualiza anúncios disponíveis no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Sistema exibe lista de anúncios disponíveis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6"/>
              </w:numPr>
            </w:pPr>
            <w:r>
              <w:t>O usuário clica em um anúncio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6"/>
              </w:numPr>
            </w:pPr>
            <w:r>
              <w:t xml:space="preserve">Sistema redireciona usuário para a página do anúncio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6"/>
              </w:numPr>
            </w:pPr>
            <w:r>
              <w:t xml:space="preserve">Usuário digita sua pergunta na área de texto e confirma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6"/>
              </w:numPr>
            </w:pPr>
            <w:r>
              <w:t xml:space="preserve">Sistema envia </w:t>
            </w:r>
            <w:proofErr w:type="spellStart"/>
            <w:r>
              <w:t>mensagem</w:t>
            </w:r>
            <w:proofErr w:type="spellEnd"/>
            <w:r>
              <w:t xml:space="preserve"> do usuário para anunciante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Usuário desiste de fazer contato com anunciante e não confirma.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Erro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Sistema não consegue enviar mensagem para anunciante e exibe mensagem de erro.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Baixa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r>
              <w:t>RU007 – Contatar Administrador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Usuário consegue entrar em contato com administrador para tirar dúvidas, fazer uma reclamação ou dar sugestões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O usuário clica na opção ‘entrar em contato com administrador’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lastRenderedPageBreak/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enviou mensagem para Administrador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Contatar Administrador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O usuário clica em uma das opções do menu Suporte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Sistema redireciona usuário para página de acordo com a opção escolhida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7"/>
              </w:numPr>
            </w:pPr>
            <w:r>
              <w:t>Usuário digita seus dados e a reclamação de acordo com a categoria do problema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7"/>
              </w:numPr>
            </w:pPr>
            <w:r>
              <w:t xml:space="preserve">Sistema envia </w:t>
            </w:r>
            <w:proofErr w:type="spellStart"/>
            <w:r>
              <w:t>mensagem</w:t>
            </w:r>
            <w:proofErr w:type="spellEnd"/>
            <w:r>
              <w:t xml:space="preserve"> do usuário para o administrador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não preenche todos os campos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Sistema exibe mensagem avisando que os campos são obrigatórios e a mensagem não é enviada.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Erro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Sistema não consegue enviar mensagem e exibe mensagem de erro.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Baixa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&lt;Identifica as Regras de Negócio utilizadas. Exemplo: RN01, RN02&gt;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r>
              <w:t>RU004 – Acessar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Usuário/Administrador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O usuário consegue acessar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tentar acessar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ser redirecionado para a página do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Acessar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O usuário acessa a página de </w:t>
            </w:r>
            <w:proofErr w:type="spellStart"/>
            <w:r>
              <w:t>login</w:t>
            </w:r>
            <w:proofErr w:type="spellEnd"/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Usuário digita seu </w:t>
            </w:r>
            <w:proofErr w:type="spellStart"/>
            <w:r>
              <w:t>email</w:t>
            </w:r>
            <w:proofErr w:type="spellEnd"/>
            <w:r>
              <w:t xml:space="preserve"> e senha e confirma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8"/>
              </w:numPr>
            </w:pPr>
            <w:r>
              <w:t xml:space="preserve">Sistema realiza </w:t>
            </w:r>
            <w:proofErr w:type="spellStart"/>
            <w:r>
              <w:t>autentificação</w:t>
            </w:r>
            <w:proofErr w:type="spellEnd"/>
            <w:r>
              <w:t xml:space="preserve"> de dados do usuário e encontra dados no banco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8"/>
              </w:numPr>
            </w:pPr>
            <w:r>
              <w:t>Sistema redireciona usuário para página do usuário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8"/>
              </w:numPr>
            </w:pPr>
            <w:r>
              <w:t>Usuário visualiza página de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 de acessar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desiste de acessar sistema e não confirma. Usuário clica em ‘cancelar’ e é redirecionado para a página principal do aplicativo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Usuário não é cadastrado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Sistema não encontra dados do usuário no banco de dados e retorna mensagem ‘Usuário não cadastrado/</w:t>
            </w:r>
            <w:proofErr w:type="spellStart"/>
            <w:r>
              <w:t>email</w:t>
            </w:r>
            <w:proofErr w:type="spellEnd"/>
            <w:r>
              <w:t xml:space="preserve"> ou senha incorretos’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&lt;Identifica as Regras de Negócio utilizadas. Exemplo: RN01, RN02&gt;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RU005 – Apagar Cadastro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Usuário consegue apagar cadastro no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clica na opção ‘Apagar cadastro’ na página do 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excluído do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Apagar Cadastro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localiza-se na página de usuário e clica na opção ‘Apagar cadastro’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Sistema exibe mensagem perguntando ao usuário se ele realmente deseja excluir seu perfil no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9"/>
              </w:numPr>
            </w:pPr>
            <w:r>
              <w:t>Usuário confirma que deseja excluir perfil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9"/>
              </w:numPr>
            </w:pPr>
            <w:r>
              <w:t>Sistema exibe mensagem confirmando exclusão de conta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9"/>
              </w:numPr>
            </w:pPr>
            <w:r>
              <w:t>Sistema redireciona usuário para página principal do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Usuário desiste de excluir perfil s e não confirma.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Erro no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Sistema não </w:t>
            </w:r>
            <w:proofErr w:type="spellStart"/>
            <w:r>
              <w:t>exclue</w:t>
            </w:r>
            <w:proofErr w:type="spellEnd"/>
            <w:r>
              <w:t xml:space="preserve"> conta do usuário e exibe mensagem de erro. Sistema redireciona usuário para página do usuário.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Média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&lt;Identifica as Regras de Negócio utilizadas. Exemplo: RN01, RN02&gt;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r>
              <w:t>RU008 – Cadastrar anúncio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lastRenderedPageBreak/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Anunciante poderá cadastrar novos anúncios no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clica em ‘cadastrar novo anúncio’ na página do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tem que ser cadastrado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publicou anúncio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Cadastrar novo anúncio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Anunciante está logrado no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Anunciante clica na opção ‘Anúncio’ na página do usuário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Sistema redireciona anunciante para página de anúncios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proofErr w:type="gramStart"/>
            <w:r>
              <w:t>Anunciante  “</w:t>
            </w:r>
            <w:proofErr w:type="gramEnd"/>
            <w:r>
              <w:t xml:space="preserve">clica em cadastrar novo anúncio”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Sistema direciona anunciante para página de cadastro de produto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Anunciante adiciona dados do produto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Sistema valida anúncio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Sistema guarda anúncio no banco de dados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Sistema publica anúncio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0"/>
              </w:numPr>
            </w:pPr>
            <w:r>
              <w:t>Anunciante visualiza anúncio publicado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Anunciante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Anunciante desiste de cadastrar anúncio e não confirma. Usuário clica em ‘cancelar’ e é redirecionado para a página do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Exceções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Sistema encontra dados obrigatórios em branco e retorna mensagem ‘Há dados em branco. Terminar de preencher dados’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&lt;RE002&gt;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RU009 – Efetuar Pagamento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Usuário poderá efetuar o pagamento caso faça alguma compra no site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lastRenderedPageBreak/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clica em comprar na página do produto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tem que ter comprado um produto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conseguiu finalizar operação de pagamento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Efetuar pagamento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Usuário já está logrado no aplicativo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Usuário clica na opção ‘Comprar’ na página do produto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 xml:space="preserve">Sistema redireciona anunciante para página de </w:t>
            </w:r>
            <w:proofErr w:type="spellStart"/>
            <w:r>
              <w:t>checkout</w:t>
            </w:r>
            <w:proofErr w:type="spellEnd"/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Usuário escolhe que deseja continuar processando a compra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Sistema redireciona usuário para página de escolha de envio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Usuário escolhe opção de envio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Sistema redireciona para página com as opções de pagamento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Usuário escolhe opção de pagamento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Sistema guarda opções e finaliza transação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 xml:space="preserve">Sistema exibe mensagem de confirmação de pagamento efetuado com sucesso/‘Aguardando aprovação de pagamento’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1"/>
              </w:numPr>
            </w:pPr>
            <w:r>
              <w:t>Anunciante visualiza mensagem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Usuário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5. Usuário desiste de compra e não confirma. Usuário clica em ‘cancelar’ e é redirecionado para a página do 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&lt;Título do Fluxo de Exceção&gt;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&lt;RE002&gt;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RU010 – Cancelar venda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trHeight w:val="122"/>
        </w:trPr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O anunciante pode cancelar uma venda que já foi finalizada antes do envio do produto, no prazo máximo de 3 dias úteis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clica na opção ‘cancelar venda’ na página de vendas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tem que ter alguma venda finalizada 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cancelou venda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Cancelar Venda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Anunciante já está logrado no site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Anunciante clica na opção ‘Visualizar todos vendas’ na página do anunciante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Sistema redireciona Anunciante para página de vendas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Anunciante escolhe venda que será cancelada e clica na opção ‘cancelar venda’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Sistema pede para que anunciante confirme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Anunciante confirma novamente que deseja cancelar venda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Sistema salva escolha no banco de dados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Sistema exibe mensagem ‘Venda cancelada’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 xml:space="preserve">Sistema devolve dinheiro do comprador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2"/>
              </w:numPr>
            </w:pPr>
            <w:r>
              <w:t>Sistema exibe mensagem confirmando devolução de valor ao comprador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Anunciante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Anunciante desiste de cancelar venda e não confirma. Anunciante é redirecionado para a página do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&lt;Título do Fluxo de Exceção&gt;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Passo 01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2. ...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Média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&lt;RE002&gt;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RU011 – Modificar anúncio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Anunciante pode modificar dados dos anúncios cadastrados no 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clica na opção ‘modificar venda’ na página que lista todos as vendas cadastradas pelo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tem que ter produtos cadastrados no sistema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Anunciante modificou anúncio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Modificar anúncio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Anunciante já está logrado no site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Anunciante clica na opção ‘Visualizar meus anúncios’ na página do anunciante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</w:pPr>
            <w:r>
              <w:t>Sistema redireciona Anunciante para página de anúncios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</w:pPr>
            <w:r>
              <w:t xml:space="preserve">Anunciante clica no anúncio que deseja modificar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</w:pPr>
            <w:r>
              <w:t>Sistema redireciona anunciante para página do anúncio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</w:pPr>
            <w:r>
              <w:t xml:space="preserve">Anunciante clica na opção ‘Modificar anúncio’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  <w:rPr>
                <w:lang w:val="en-US"/>
              </w:rPr>
            </w:pPr>
            <w:r>
              <w:t>Sistema exibe página de modificação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  <w:rPr>
                <w:lang w:val="en-US"/>
              </w:rPr>
            </w:pPr>
            <w:r>
              <w:t>Anunciante faz as devidas atualizações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</w:pPr>
            <w:r>
              <w:t>Sistema guarda novos dados do anúncio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3"/>
              </w:numPr>
            </w:pPr>
            <w:r>
              <w:t>Sistema exibe mensagem ‘Anúncio modificado’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lastRenderedPageBreak/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Anunciante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7. Anunciante desiste de modificar anúncio e não confirma. Clica em ‘cancelar’ e é redirecionado para a página do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 xml:space="preserve">Fluxo Alternativo: 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2.2 Anunciante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r>
              <w:t>8. Anunciante desiste de modificar anúncio e não confirma. Clica em ‘cancelar’ e é redirecionado para a página do 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Erro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10. Sistema não consegue atualizar anúncio e exibe mensagem de erro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RU012 – Enviar produto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&lt;Atores Secundários do Use Case&gt;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Anunciante deverá enviar produto comprado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 finaliza uma compra no site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ter vendido um produto</w:t>
            </w:r>
          </w:p>
          <w:p w:rsidR="00130E80" w:rsidRDefault="00130E80" w:rsidP="00405582">
            <w:pPr>
              <w:pStyle w:val="TableContents"/>
            </w:pPr>
            <w:r>
              <w:t>Usuário ter efetuado uma compra e finalizado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Anunciante enviou produto para comprador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Enviar produto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1. Anunciante visualiza opção de envio escolhida pelo usuário na página de venda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2. Anunciante visualiza dados para envio do usuário na página de venda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4"/>
              </w:numPr>
            </w:pPr>
            <w:r>
              <w:t>Anunciante envia produto e quer postar no sistema confirmação de envio. Anunciante clica na página da venda.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4"/>
              </w:numPr>
            </w:pPr>
            <w:r>
              <w:t>Sistema disponibiliza na página de venda um campo para que o anunciante informe o código de rastreio do produto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4"/>
              </w:numPr>
            </w:pPr>
            <w:r>
              <w:t xml:space="preserve">Anunciante entra com o código de rastreio e confirma 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4"/>
              </w:numPr>
            </w:pPr>
            <w:r>
              <w:t>Sistema guarda dados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4"/>
              </w:numPr>
            </w:pPr>
            <w:r>
              <w:t>Sistema exibe mensagem ‘Aguardando recebimento do produto pelo comprador’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Anunciante não envia produto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5"/>
              </w:numPr>
            </w:pPr>
            <w:r>
              <w:t>Anunciante não confirma envio do produto e não cadastra código de rastreio. Sistema aguarda período de 20 dias após a finalização da compra para cancelar venda;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5"/>
              </w:numPr>
            </w:pPr>
            <w:r>
              <w:t xml:space="preserve">Anunciante envia produto, mas esquece de cadastrar código de rastreio. Sistema verifica com o comprador se o produto foi recebido. Caso não, a venda é cancelada;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 xml:space="preserve">Fluxo Alternativo: 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2.2 Anunciante desiste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>6. Anunciante desiste de venda e não envia. Sistema devolve dinheiro de usuário após o anunciante confirmar cancelamento de venda;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&lt;Título do Fluxo de Exceção&gt;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Alta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&lt;RE002&gt;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130E80" w:rsidRDefault="00130E80" w:rsidP="00130E80">
      <w:pPr>
        <w:ind w:hanging="19"/>
        <w:jc w:val="both"/>
        <w:rPr>
          <w:sz w:val="24"/>
          <w:szCs w:val="24"/>
        </w:rPr>
      </w:pPr>
    </w:p>
    <w:tbl>
      <w:tblPr>
        <w:tblW w:w="0" w:type="auto"/>
        <w:tblInd w:w="-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30E80" w:rsidTr="00405582"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RU015 – Recuperar senha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 de Criação:  06 /02/18   </w:t>
            </w:r>
          </w:p>
          <w:p w:rsidR="00130E80" w:rsidRDefault="00130E80" w:rsidP="00405582">
            <w:pPr>
              <w:pStyle w:val="TableContents"/>
            </w:pPr>
            <w:r>
              <w:t xml:space="preserve">      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Modificado Por: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Magda Amaral                                                                     Data:    19 / 02/18 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</w:t>
            </w:r>
            <w:proofErr w:type="gramStart"/>
            <w:r>
              <w:t>) Primário</w:t>
            </w:r>
            <w:proofErr w:type="gramEnd"/>
            <w:r>
              <w:t xml:space="preserve">: </w:t>
            </w:r>
          </w:p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Usuário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Sistema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Usuário poderá recuperar senha em caso de esquecimento 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Usuário clica no botão ‘esqueceu senha’ na página de </w:t>
            </w:r>
            <w:proofErr w:type="spellStart"/>
            <w:r>
              <w:t>login</w:t>
            </w:r>
            <w:proofErr w:type="spellEnd"/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Usuário  clica no botão ‘esqueceu senha’ na página de </w:t>
            </w:r>
            <w:proofErr w:type="spellStart"/>
            <w:r>
              <w:t>login</w:t>
            </w:r>
            <w:proofErr w:type="spellEnd"/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Usuário recebeu </w:t>
            </w:r>
            <w:proofErr w:type="spellStart"/>
            <w:r>
              <w:t>email</w:t>
            </w:r>
            <w:proofErr w:type="spellEnd"/>
            <w:r>
              <w:t xml:space="preserve"> com senha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Recuperar senha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1. Usuário clica na opção ‘esqueceu a senha’ na página de </w:t>
            </w:r>
            <w:proofErr w:type="spellStart"/>
            <w:r>
              <w:t>login</w:t>
            </w:r>
            <w:proofErr w:type="spellEnd"/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  <w:r>
              <w:t xml:space="preserve">2. Sistema redireciona usuário para página de recuperação de senha e solicita o </w:t>
            </w:r>
            <w:proofErr w:type="spellStart"/>
            <w:r>
              <w:t>email</w:t>
            </w:r>
            <w:proofErr w:type="spellEnd"/>
            <w:r>
              <w:t xml:space="preserve"> de cadastro do usuário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  <w:numPr>
                <w:ilvl w:val="0"/>
                <w:numId w:val="16"/>
              </w:numPr>
            </w:pPr>
            <w:r>
              <w:t xml:space="preserve">Usuário digita </w:t>
            </w:r>
            <w:proofErr w:type="spellStart"/>
            <w:r>
              <w:t>email</w:t>
            </w:r>
            <w:proofErr w:type="spellEnd"/>
            <w:r>
              <w:t xml:space="preserve"> e confirma</w:t>
            </w:r>
          </w:p>
          <w:p w:rsidR="00130E80" w:rsidRDefault="00130E80" w:rsidP="00405582">
            <w:pPr>
              <w:pStyle w:val="TableContents"/>
              <w:numPr>
                <w:ilvl w:val="0"/>
                <w:numId w:val="16"/>
              </w:numPr>
            </w:pPr>
            <w:r>
              <w:t xml:space="preserve">Sistema exibe mensagem confirmando que a senha será enviada  para o </w:t>
            </w:r>
            <w:proofErr w:type="spellStart"/>
            <w:r>
              <w:t>email</w:t>
            </w:r>
            <w:proofErr w:type="spellEnd"/>
            <w:r>
              <w:t xml:space="preserve"> de cadastro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Alternativo: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2.1 &lt;Título do Fluxo Alternativo&gt;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 xml:space="preserve">Fluxo Alternativo: 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2.2 &lt;Título do Fluxo Alternativo&gt;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  <w:rPr>
                <w:b/>
                <w:bCs/>
              </w:rPr>
            </w:pPr>
            <w:r>
              <w:t>Fluxo de Exceção: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rPr>
                <w:b/>
                <w:bCs/>
              </w:rPr>
              <w:t>3.1 &lt;Título do Fluxo de Exceção&gt;</w:t>
            </w: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>Média</w:t>
            </w:r>
          </w:p>
        </w:tc>
      </w:tr>
      <w:tr w:rsidR="00130E80" w:rsidTr="00405582">
        <w:tc>
          <w:tcPr>
            <w:tcW w:w="1843" w:type="dxa"/>
          </w:tcPr>
          <w:p w:rsidR="00130E80" w:rsidRDefault="00130E80" w:rsidP="00405582">
            <w:pPr>
              <w:pStyle w:val="TableContents"/>
            </w:pPr>
          </w:p>
        </w:tc>
        <w:tc>
          <w:tcPr>
            <w:tcW w:w="7201" w:type="dxa"/>
          </w:tcPr>
          <w:p w:rsidR="00130E80" w:rsidRDefault="00130E80" w:rsidP="00405582">
            <w:pPr>
              <w:pStyle w:val="TableContents"/>
            </w:pPr>
          </w:p>
        </w:tc>
      </w:tr>
      <w:tr w:rsidR="00130E80" w:rsidTr="0040558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single" w:sz="0" w:space="0" w:color="000000"/>
              <w:bottom w:val="single" w:sz="0" w:space="0" w:color="000000"/>
            </w:tcBorders>
          </w:tcPr>
          <w:p w:rsidR="00130E80" w:rsidRDefault="00130E80" w:rsidP="00405582">
            <w:pPr>
              <w:pStyle w:val="TableContents"/>
            </w:pPr>
            <w:r>
              <w:t xml:space="preserve"> </w:t>
            </w:r>
          </w:p>
        </w:tc>
      </w:tr>
    </w:tbl>
    <w:p w:rsidR="00130E80" w:rsidRDefault="00130E80" w:rsidP="00130E80">
      <w:pPr>
        <w:ind w:left="360"/>
        <w:jc w:val="both"/>
        <w:rPr>
          <w:b/>
          <w:sz w:val="24"/>
          <w:szCs w:val="24"/>
        </w:rPr>
      </w:pPr>
    </w:p>
    <w:p w:rsidR="00BE2FD1" w:rsidRDefault="00BE2FD1"/>
    <w:sectPr w:rsidR="00BE2FD1">
      <w:headerReference w:type="default" r:id="rId5"/>
      <w:footerReference w:type="default" r:id="rId6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20B3E">
    <w:pPr>
      <w:pStyle w:val="Rodap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E80">
    <w:pPr>
      <w:jc w:val="center"/>
      <w:rPr>
        <w:b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0B3E">
      <w:rPr>
        <w:b/>
        <w:sz w:val="26"/>
        <w:szCs w:val="26"/>
      </w:rPr>
      <w:t>UNIVERSIDADE FEDERAL DE SERGIPE</w:t>
    </w:r>
  </w:p>
  <w:p w:rsidR="00000000" w:rsidRDefault="00D20B3E">
    <w:pPr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000000" w:rsidRDefault="00D20B3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000000" w:rsidRDefault="00D20B3E">
    <w:pPr>
      <w:jc w:val="center"/>
      <w:rPr>
        <w:sz w:val="22"/>
        <w:szCs w:val="22"/>
      </w:rPr>
    </w:pPr>
  </w:p>
  <w:p w:rsidR="00000000" w:rsidRDefault="00D20B3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F65139" w:rsidRDefault="00D20B3E" w:rsidP="00F65139">
    <w:pPr>
      <w:pStyle w:val="Cabealho"/>
      <w:rPr>
        <w:bCs/>
        <w:sz w:val="24"/>
        <w:szCs w:val="24"/>
      </w:rPr>
    </w:pPr>
    <w:r>
      <w:rPr>
        <w:bCs/>
        <w:sz w:val="24"/>
        <w:szCs w:val="24"/>
      </w:rPr>
      <w:t>Alu</w:t>
    </w:r>
    <w:r>
      <w:rPr>
        <w:bCs/>
        <w:sz w:val="24"/>
        <w:szCs w:val="24"/>
      </w:rPr>
      <w:t>na</w:t>
    </w:r>
    <w:r>
      <w:rPr>
        <w:bCs/>
        <w:sz w:val="24"/>
        <w:szCs w:val="24"/>
      </w:rPr>
      <w:t xml:space="preserve">: Magda </w:t>
    </w:r>
    <w:proofErr w:type="spellStart"/>
    <w:r>
      <w:rPr>
        <w:bCs/>
        <w:sz w:val="24"/>
        <w:szCs w:val="24"/>
      </w:rPr>
      <w:t>Tainy</w:t>
    </w:r>
    <w:proofErr w:type="spellEnd"/>
    <w:r>
      <w:rPr>
        <w:bCs/>
        <w:sz w:val="24"/>
        <w:szCs w:val="24"/>
      </w:rPr>
      <w:t xml:space="preserve"> Nunes A</w:t>
    </w:r>
    <w:r>
      <w:rPr>
        <w:bCs/>
        <w:sz w:val="24"/>
        <w:szCs w:val="24"/>
      </w:rPr>
      <w:t>mara</w:t>
    </w:r>
    <w:r>
      <w:rPr>
        <w:bCs/>
        <w:sz w:val="24"/>
        <w:szCs w:val="24"/>
      </w:rPr>
      <w:t>l</w:t>
    </w:r>
  </w:p>
  <w:p w:rsidR="00F65139" w:rsidRDefault="00D20B3E">
    <w:pPr>
      <w:pStyle w:val="Cabealho"/>
      <w:rPr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8227B"/>
    <w:multiLevelType w:val="multilevel"/>
    <w:tmpl w:val="29B8227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A8C2102"/>
    <w:multiLevelType w:val="singleLevel"/>
    <w:tmpl w:val="5A8C2102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5A8C2E35"/>
    <w:multiLevelType w:val="singleLevel"/>
    <w:tmpl w:val="5A8C2E35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5A8C3088"/>
    <w:multiLevelType w:val="singleLevel"/>
    <w:tmpl w:val="5A8C3088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5A8C31EC"/>
    <w:multiLevelType w:val="singleLevel"/>
    <w:tmpl w:val="5A8C31EC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5A8C33C1"/>
    <w:multiLevelType w:val="singleLevel"/>
    <w:tmpl w:val="5A8C33C1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5A8CA9C7"/>
    <w:multiLevelType w:val="singleLevel"/>
    <w:tmpl w:val="5A8CA9C7"/>
    <w:lvl w:ilvl="0">
      <w:start w:val="3"/>
      <w:numFmt w:val="decimal"/>
      <w:suff w:val="space"/>
      <w:lvlText w:val="%1."/>
      <w:lvlJc w:val="left"/>
    </w:lvl>
  </w:abstractNum>
  <w:abstractNum w:abstractNumId="7" w15:restartNumberingAfterBreak="0">
    <w:nsid w:val="5A8CADB2"/>
    <w:multiLevelType w:val="singleLevel"/>
    <w:tmpl w:val="5A8CADB2"/>
    <w:lvl w:ilvl="0">
      <w:start w:val="3"/>
      <w:numFmt w:val="decimal"/>
      <w:suff w:val="space"/>
      <w:lvlText w:val="%1."/>
      <w:lvlJc w:val="left"/>
    </w:lvl>
  </w:abstractNum>
  <w:abstractNum w:abstractNumId="8" w15:restartNumberingAfterBreak="0">
    <w:nsid w:val="5A8CAF5B"/>
    <w:multiLevelType w:val="singleLevel"/>
    <w:tmpl w:val="5A8CAF5B"/>
    <w:lvl w:ilvl="0">
      <w:start w:val="3"/>
      <w:numFmt w:val="decimal"/>
      <w:suff w:val="space"/>
      <w:lvlText w:val="%1."/>
      <w:lvlJc w:val="left"/>
    </w:lvl>
  </w:abstractNum>
  <w:abstractNum w:abstractNumId="9" w15:restartNumberingAfterBreak="0">
    <w:nsid w:val="5A8CC8BE"/>
    <w:multiLevelType w:val="singleLevel"/>
    <w:tmpl w:val="5A8CC8BE"/>
    <w:lvl w:ilvl="0">
      <w:start w:val="3"/>
      <w:numFmt w:val="decimal"/>
      <w:suff w:val="space"/>
      <w:lvlText w:val="%1."/>
      <w:lvlJc w:val="left"/>
    </w:lvl>
  </w:abstractNum>
  <w:abstractNum w:abstractNumId="10" w15:restartNumberingAfterBreak="0">
    <w:nsid w:val="5A8CCB0B"/>
    <w:multiLevelType w:val="singleLevel"/>
    <w:tmpl w:val="5A8CCB0B"/>
    <w:lvl w:ilvl="0">
      <w:start w:val="3"/>
      <w:numFmt w:val="decimal"/>
      <w:suff w:val="space"/>
      <w:lvlText w:val="%1."/>
      <w:lvlJc w:val="left"/>
    </w:lvl>
  </w:abstractNum>
  <w:abstractNum w:abstractNumId="11" w15:restartNumberingAfterBreak="0">
    <w:nsid w:val="5A8CCD7D"/>
    <w:multiLevelType w:val="singleLevel"/>
    <w:tmpl w:val="5A8CCD7D"/>
    <w:lvl w:ilvl="0">
      <w:start w:val="3"/>
      <w:numFmt w:val="decimal"/>
      <w:suff w:val="space"/>
      <w:lvlText w:val="%1."/>
      <w:lvlJc w:val="left"/>
    </w:lvl>
  </w:abstractNum>
  <w:abstractNum w:abstractNumId="12" w15:restartNumberingAfterBreak="0">
    <w:nsid w:val="5A8CCF3F"/>
    <w:multiLevelType w:val="singleLevel"/>
    <w:tmpl w:val="5A8CCF3F"/>
    <w:lvl w:ilvl="0">
      <w:start w:val="3"/>
      <w:numFmt w:val="decimal"/>
      <w:suff w:val="space"/>
      <w:lvlText w:val="%1."/>
      <w:lvlJc w:val="left"/>
    </w:lvl>
  </w:abstractNum>
  <w:abstractNum w:abstractNumId="13" w15:restartNumberingAfterBreak="0">
    <w:nsid w:val="5A8CD1DB"/>
    <w:multiLevelType w:val="singleLevel"/>
    <w:tmpl w:val="5A8CD1DB"/>
    <w:lvl w:ilvl="0">
      <w:start w:val="3"/>
      <w:numFmt w:val="decimal"/>
      <w:suff w:val="space"/>
      <w:lvlText w:val="%1."/>
      <w:lvlJc w:val="left"/>
    </w:lvl>
  </w:abstractNum>
  <w:abstractNum w:abstractNumId="14" w15:restartNumberingAfterBreak="0">
    <w:nsid w:val="5AA09BC9"/>
    <w:multiLevelType w:val="singleLevel"/>
    <w:tmpl w:val="5AA09BC9"/>
    <w:lvl w:ilvl="0">
      <w:start w:val="4"/>
      <w:numFmt w:val="decimal"/>
      <w:suff w:val="space"/>
      <w:lvlText w:val="%1."/>
      <w:lvlJc w:val="left"/>
    </w:lvl>
  </w:abstractNum>
  <w:abstractNum w:abstractNumId="15" w15:restartNumberingAfterBreak="0">
    <w:nsid w:val="5AA09EAD"/>
    <w:multiLevelType w:val="singleLevel"/>
    <w:tmpl w:val="5AA09EAD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80"/>
    <w:rsid w:val="00130E80"/>
    <w:rsid w:val="00BE2FD1"/>
    <w:rsid w:val="00D20B3E"/>
    <w:rsid w:val="00E54CC7"/>
    <w:rsid w:val="00E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40653"/>
  <w15:chartTrackingRefBased/>
  <w15:docId w15:val="{8384B9FD-8879-4D9F-A9D6-1D610EB4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30E8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rsid w:val="00130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30E8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30E80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styleId="Hyperlink">
    <w:name w:val="Hyperlink"/>
    <w:rsid w:val="00130E80"/>
    <w:rPr>
      <w:color w:val="0000FF"/>
      <w:u w:val="single"/>
    </w:rPr>
  </w:style>
  <w:style w:type="paragraph" w:styleId="Cabealho">
    <w:name w:val="header"/>
    <w:basedOn w:val="Normal"/>
    <w:link w:val="CabealhoChar"/>
    <w:rsid w:val="00130E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130E8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130E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130E8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Rodap">
    <w:name w:val="footer"/>
    <w:basedOn w:val="Normal"/>
    <w:link w:val="RodapChar"/>
    <w:rsid w:val="0013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30E8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130E80"/>
    <w:rPr>
      <w:sz w:val="24"/>
    </w:rPr>
  </w:style>
  <w:style w:type="character" w:customStyle="1" w:styleId="SubttuloChar">
    <w:name w:val="Subtítulo Char"/>
    <w:basedOn w:val="Fontepargpadro"/>
    <w:link w:val="Subttulo"/>
    <w:rsid w:val="00130E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yle3">
    <w:name w:val="_Style 3"/>
    <w:basedOn w:val="Normal"/>
    <w:uiPriority w:val="34"/>
    <w:qFormat/>
    <w:rsid w:val="00130E80"/>
    <w:pPr>
      <w:ind w:left="708"/>
    </w:pPr>
  </w:style>
  <w:style w:type="paragraph" w:styleId="Recuodecorpodetexto">
    <w:name w:val="Body Text Indent"/>
    <w:basedOn w:val="Normal"/>
    <w:link w:val="RecuodecorpodetextoChar"/>
    <w:rsid w:val="00130E80"/>
    <w:pPr>
      <w:ind w:firstLine="709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130E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ableContents">
    <w:name w:val="Table Contents"/>
    <w:basedOn w:val="Normal"/>
    <w:rsid w:val="00130E80"/>
    <w:pPr>
      <w:suppressLineNumbers/>
      <w:suppressAutoHyphens/>
    </w:pPr>
    <w:rPr>
      <w:lang w:eastAsia="zh-CN"/>
    </w:rPr>
  </w:style>
  <w:style w:type="paragraph" w:styleId="PargrafodaLista">
    <w:name w:val="List Paragraph"/>
    <w:basedOn w:val="Normal"/>
    <w:uiPriority w:val="34"/>
    <w:qFormat/>
    <w:rsid w:val="00130E80"/>
    <w:pPr>
      <w:ind w:left="708"/>
    </w:pPr>
  </w:style>
  <w:style w:type="table" w:styleId="Tabelacomgrade">
    <w:name w:val="Table Grid"/>
    <w:basedOn w:val="Tabelanormal"/>
    <w:rsid w:val="00130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3218</Words>
  <Characters>17379</Characters>
  <Application>Microsoft Office Word</Application>
  <DocSecurity>0</DocSecurity>
  <Lines>144</Lines>
  <Paragraphs>41</Paragraphs>
  <ScaleCrop>false</ScaleCrop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</dc:creator>
  <cp:keywords/>
  <dc:description/>
  <cp:lastModifiedBy>clovis</cp:lastModifiedBy>
  <cp:revision>4</cp:revision>
  <dcterms:created xsi:type="dcterms:W3CDTF">2018-05-20T19:35:00Z</dcterms:created>
  <dcterms:modified xsi:type="dcterms:W3CDTF">2018-05-20T19:43:00Z</dcterms:modified>
</cp:coreProperties>
</file>