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CSU02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Consultar Estabelecimentos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consulte clínicas e petshops.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deve estar autenticado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 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360"/>
              </w:tabs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 Ator seleciona duas das quatro opções disponibilizadas pelo sistema(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360"/>
              </w:tabs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“Produtos”: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Petshops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“Agendamentos”: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Clínicas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360"/>
              </w:tabs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O sistema retorna ao passo 2.</w:t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Consultar Clínicas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46.00000000000023" w:tblpY="0"/>
        <w:tblW w:w="10491.0" w:type="dxa"/>
        <w:jc w:val="left"/>
        <w:tblInd w:w="-1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5"/>
        <w:gridCol w:w="1275"/>
        <w:gridCol w:w="6341"/>
        <w:tblGridChange w:id="0">
          <w:tblGrid>
            <w:gridCol w:w="2875"/>
            <w:gridCol w:w="1275"/>
            <w:gridCol w:w="63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consulte clínicas para realizar agendamento de consulta com médico veterinário.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dgzbfv9k6ofi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tela listando todos os estabelecimentos que são clínicas(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ed2bkw30uwiz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1.972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heading=h.ed2bkw30uwiz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Caso ocorra uma falha ao recuperar os dados das clínicas, o sistema deve exibir uma mensagem de erro e oferecer a opção de recarregar a página.</w:t>
              <w:br w:type="textWrapping"/>
            </w:r>
          </w:p>
          <w:p w:rsidR="00000000" w:rsidDel="00000000" w:rsidP="00000000" w:rsidRDefault="00000000" w:rsidRPr="00000000" w14:paraId="00000046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heading=h.ed2bkw30uwiz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não houver clínicas cadastradas, o sistema deve exibir uma mensagem informando que não há estabelecimentos disponíveis.</w:t>
              <w:br w:type="textWrapping"/>
            </w:r>
          </w:p>
          <w:p w:rsidR="00000000" w:rsidDel="00000000" w:rsidP="00000000" w:rsidRDefault="00000000" w:rsidRPr="00000000" w14:paraId="00000047">
            <w:pPr>
              <w:pStyle w:val="Heading2"/>
              <w:jc w:val="left"/>
              <w:rPr>
                <w:rFonts w:ascii="Arial" w:cs="Arial" w:eastAsia="Arial" w:hAnsi="Arial"/>
                <w:b w:val="1"/>
              </w:rPr>
            </w:pPr>
            <w:bookmarkStart w:colFirst="0" w:colLast="0" w:name="_heading=h.p8fy7x8yv5bu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Se o tutor perder a conexão com a internet, o sistema deve exibir um aviso e permitir uma nova tentativa ao restabelecer a conexão.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Consultar Petshops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15.9999999999998" w:tblpY="0"/>
        <w:tblW w:w="10320.0" w:type="dxa"/>
        <w:jc w:val="left"/>
        <w:tblInd w:w="-1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5"/>
        <w:gridCol w:w="1275"/>
        <w:gridCol w:w="6170"/>
        <w:tblGridChange w:id="0">
          <w:tblGrid>
            <w:gridCol w:w="2875"/>
            <w:gridCol w:w="1275"/>
            <w:gridCol w:w="6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consulte petshops para realizar solicitação de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1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heading=h.fg75uslawr95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tela listando todos os produtos(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“Petshops”.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tela listando todos os estabelecimentos que são petshops(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rafop6tedviu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C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heading=h.ed2bkw30uwiz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Caso ocorra uma falha ao recuperar os dados das clínicas, o sistema deve exibir uma mensagem de erro e oferecer a opção de recarregar a página.</w:t>
              <w:br w:type="textWrapping"/>
            </w:r>
          </w:p>
          <w:p w:rsidR="00000000" w:rsidDel="00000000" w:rsidP="00000000" w:rsidRDefault="00000000" w:rsidRPr="00000000" w14:paraId="0000006D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heading=h.i7igk6x9i9l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não houver clínicas cadastradas, o sistema deve exibir uma mensagem informando que não há estabelecimentos disponíveis.</w:t>
              <w:br w:type="textWrapping"/>
            </w:r>
          </w:p>
          <w:p w:rsidR="00000000" w:rsidDel="00000000" w:rsidP="00000000" w:rsidRDefault="00000000" w:rsidRPr="00000000" w14:paraId="0000006E">
            <w:pPr>
              <w:pStyle w:val="Heading2"/>
              <w:jc w:val="left"/>
              <w:rPr>
                <w:rFonts w:ascii="Arial" w:cs="Arial" w:eastAsia="Arial" w:hAnsi="Arial"/>
                <w:b w:val="1"/>
              </w:rPr>
            </w:pPr>
            <w:bookmarkStart w:colFirst="0" w:colLast="0" w:name="_heading=h.ndzpk2c36kiw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Se o tutor perder a conexão com a internet, o sistema deve exibir um aviso e permitir uma nova tentativa ao restabelecer a conexão.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Alteração no fluxo e 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Inclusão dos fluxos de exceção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BH0Da1jgLRg9KOBBz0F7Z5X6g==">CgMxLjAyDmguZGd6YmZ2OWs2b2ZpMg5oLmVkMmJrdzMwdXdpejIOaC5lZDJia3czMHV3aXoyDmguZWQyYmt3MzB1d2l6Mg5oLnA4Znk3eDh5djVidTIOaC5mZzc1dXNsYXdyOTUyDmgucmFmb3A2dGVkdml1Mg5oLmVkMmJrdzMwdXdpejIOaC5pN2lnazZ4OWk5bDEyDmgubmR6cGsyYzM2a2l3OAByITFpT3U5RGRkMVBJeHVtYW40MnpiS19tdDJ3eUpIMmVzMA==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