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rFonts w:hint="default"/>
          <w:b/>
          <w:bCs/>
          <w:sz w:val="36"/>
          <w:szCs w:val="36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13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Fornecedor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solicitar, consultar, editar ou remover os dados de </w:t>
            </w:r>
            <w:r>
              <w:rPr>
                <w:rFonts w:hint="default"/>
                <w:sz w:val="28"/>
                <w:szCs w:val="28"/>
                <w:lang w:val="pt-BR"/>
              </w:rPr>
              <w:t>fornecedores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Diretora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Fornecedor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rFonts w:hint="default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rFonts w:hint="default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Fornecedor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Fornecedor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Fornecedor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bookmarkStart w:id="0" w:name="_GoBack"/>
            <w:bookmarkEnd w:id="0"/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Fornecedor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Fornecedor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Fornecedor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91056F5"/>
    <w:rsid w:val="3FEB35E7"/>
    <w:rsid w:val="45177B2D"/>
    <w:rsid w:val="58ED781A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2024-08-24T21:04:34Z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