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13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Gerenciar Faturamento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  (Risco Baixo e Prioridade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tem acesso ao painel sobre faturamento do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do restaurante deve estar autenticado no aplicativo.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- Autenticar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auto" w:val="clear"/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Menu &gt; “Faturamento” na tela de menu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shd w:fill="auto" w:val="clear"/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o painel de gestão de faturamento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W7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hd w:fill="auto" w:val="clear"/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data do faturamento.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"/>
              </w:numPr>
              <w:shd w:fill="auto" w:val="clear"/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dados do faturamento do dia selecionado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8">
            <w:pPr>
              <w:widowControl w:val="1"/>
              <w:shd w:fill="auto" w:val="clear"/>
              <w:ind w:left="283" w:right="57" w:hanging="34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hd w:fill="auto" w:val="clear"/>
              <w:ind w:left="283" w:right="57" w:hanging="340"/>
              <w:jc w:val="center"/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:Ator seleciona a opção “Voltar”. O Sistema exibe 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caso de uso gerenciar faturamento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eC2oS7+LOAcf91qpazCZz1GYFQ==">CgMxLjA4AHIhMUZwMTI5SENicEg3dm51STdPd0g5U1VKR21CMVhnX2xf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