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15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Gerenciar Pagamento Mensalidade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  <w:r w:rsidDel="00000000" w:rsidR="00000000" w:rsidRPr="00000000">
        <w:rPr>
          <w:rtl w:val="0"/>
        </w:rPr>
      </w:r>
    </w:p>
    <w:tbl>
      <w:tblPr>
        <w:tblStyle w:val="Table1"/>
        <w:tblW w:w="10391.0" w:type="dxa"/>
        <w:jc w:val="left"/>
        <w:tblInd w:w="-70.0" w:type="dxa"/>
        <w:tblLayout w:type="fixed"/>
        <w:tblLook w:val="0000"/>
      </w:tblPr>
      <w:tblGrid>
        <w:gridCol w:w="2788"/>
        <w:gridCol w:w="7603"/>
        <w:tblGridChange w:id="0">
          <w:tblGrid>
            <w:gridCol w:w="2788"/>
            <w:gridCol w:w="7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(Risco Baixo e Prioridade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consulta as mensalidades referentes a hospedagem no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 do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gerente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CSU02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2"/>
              </w:numPr>
              <w:shd w:fill="auto" w:val="clear"/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opção Menu &gt; “Pagamento Mensalidade”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na tela principal do sistema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W2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2"/>
              </w:numPr>
              <w:shd w:fill="auto" w:val="clear"/>
              <w:ind w:left="720" w:right="57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tela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 pagamento de mensalidade.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W9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ind w:left="-141.73228346456688" w:right="0" w:firstLine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ind w:left="0" w:firstLine="0"/>
              <w:jc w:val="left"/>
              <w:rPr>
                <w:color w:val="ff0000"/>
              </w:rPr>
            </w:pPr>
            <w:bookmarkStart w:colFirst="0" w:colLast="0" w:name="_heading=h.f10v3616nwkf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Linha 2:</w:t>
            </w:r>
            <w:r w:rsidDel="00000000" w:rsidR="00000000" w:rsidRPr="00000000">
              <w:rPr>
                <w:rtl w:val="0"/>
              </w:rPr>
              <w:t xml:space="preserve"> Ator seleciona a opção “Voltar”. Sistema exibe a tela inicial.(</w:t>
            </w:r>
            <w:r w:rsidDel="00000000" w:rsidR="00000000" w:rsidRPr="00000000">
              <w:rPr>
                <w:color w:val="ff0000"/>
                <w:rtl w:val="0"/>
              </w:rPr>
              <w:t xml:space="preserve">Tela_W1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Paulo Henrique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da seção Cadastrar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Matheus Calixto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Adicionado 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gPhZNDPTcpJLYBMkQRUhWDoWjw==">CgMxLjAyDmguZjEwdjM2MTZud2tmOAByITFRbUI1QjJNSEpzTVpaXzZma0c0U013aEtsa1BYMFRLMg==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