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20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Consultar Consumo Calórico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seu consumo calórico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 “Consumo” na tela principal do sistema.(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tela de consumo calórico.(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data desejada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informação da data desejada.(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“Voltar”. Retorna para tela principal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não seleciona nenhuma data e deixa na data atual. Sistema mantém na tela de consumo sem alteração.(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Adição do Fluxo Alternativo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15PPTwHOmaS7vi1fWIvDw802Hw==">CgMxLjA4AHIhMTRsVGJOcl92eGlaSmh3aTF2NldKNl9PX05Fal9OTGE0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