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3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Compartilhar Convites para 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47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10"/>
        <w:gridCol w:w="7560"/>
        <w:tblGridChange w:id="0">
          <w:tblGrid>
            <w:gridCol w:w="2910"/>
            <w:gridCol w:w="756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que o corredor envie convites para outros corredores.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720.761718749999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convite é enviado para outros corredores.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sz w:val="28"/>
                <w:szCs w:val="28"/>
              </w:rPr>
            </w:pPr>
            <w:bookmarkStart w:colFirst="0" w:colLast="0" w:name="_2951qevan5ug" w:id="0"/>
            <w:bookmarkEnd w:id="0"/>
            <w:r w:rsidDel="00000000" w:rsidR="00000000" w:rsidRPr="00000000">
              <w:rPr>
                <w:rtl w:val="0"/>
              </w:rPr>
              <w:t xml:space="preserve">O ator clica no ícone “Histórico” na aba perfil 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faz a listagem dos eventos que o ator está participando ou já participou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“Status da inscrição”.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status da inscrição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Tela20_StatusDaInscrição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“Compartilhar” 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disponibiliza o link para envio do convite a outros corredores.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faz o envio.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27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