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8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Consultar quantidade de inscrições vendidas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70  (Risco Baixo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deve permitir que o organizador tenha uma visão clara dos corredores que estão inscritos nas corridas que estão organizando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primário deve ter criado pelo menos uma única corrida de acordo com esse caso de uso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CSU13-Manter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7.968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Autor Seleciona uma corrida, clicando na imagem da corrida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Tela06_Organização - Resumo)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botão “Ingressos”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Tela11_Organização - Ingressos)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informando: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1"/>
              </w:numPr>
              <w:ind w:left="720" w:hanging="18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Ingressos Aprovados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2"/>
                <w:numId w:val="1"/>
              </w:numPr>
              <w:ind w:left="720" w:hanging="18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Ingressos Cancelados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1"/>
              </w:numPr>
              <w:ind w:left="720" w:hanging="18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 Ingressos Pendentes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1"/>
              </w:numPr>
              <w:ind w:left="720" w:hanging="18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Uma lista referente aos corredores aprovados na corrida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Lorena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Hevellyn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Inclusão da referência aos protótipos de telas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hyjwxTOQ0jiOfBc0Cqzdrzm2Ag==">CgMxLjA4AHIhMWF5X3FtTHdiTVJlRmVnZE96ZlRrRkptQzhkb3JMczRn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