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CSU13: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 organização do evento precisa incluir, alterar, excluir ou consultar os dados de uma corrida pertencente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às corridas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ativas daquela organização.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Organização da Corrida.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 organização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8.808593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tela de Home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Tela04_Organização - Home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72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Criação novo evento: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Criar Novo Evento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72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Consultar Corrida: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Consultar Corrida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72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c) Excluir evento: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Alterar dados da organização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72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d) Alterar dados da corrida: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Alterar Dados da Corrida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Sistema retorna ao passo 1.</w:t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Criar Novo Evento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dados do novo evento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clica no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botão “Criar Novo Evento”.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da corrida (ver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DD-Organização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Tela05_Organização - Criar Evento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clica no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botão “Salvar”.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DD-Organização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Consultar Corrida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do evento.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clica no banner do evento em questão.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um resumo dos dados da corrida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Tela06_Organização - Resumo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Excluir Evento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dados do evento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clica no botão de “X” ao lado do banner da corrida desejada.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mensagem “Tem certeza que deseja excluir esse evento?”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Tela17 _Organização - excluir evento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clica no botão “Sim” para excluir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exclui os dados do evento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“Não”.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Evento não pode ser excluído. Sistema exibe mensagem “O Evento não pode ser excluído.”.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Excluir Evento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Alterar Dados da Corrida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novos dados do evento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banner do evento em questão.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 resumo dos dados da corrida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Tela06_Organização - Resumo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clica no botão  “Informações”.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com os dados atuais do evento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Tela10_OrganizaçãoInformaçõesAlterar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DD-Organização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os campos que estão com problemas retornando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06/08/2025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Lucas Cunha, Felipe, Hevellyn, Alanna e Lorena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Lucas Cunha,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h5mrLZPs35X/Fy080nQGPOOMQQ==">CgMxLjA4AHIhMTd4SmtuOUR4ckppc2RSQnlFMmcwSzhXYk1qelAzb0N5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2025-08-29T00:00:00Z</dcterms:created>
  <dc:creator>Lucas</dc:creator>
</cp:coreProperties>
</file>