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AEEE04">
      <w:pPr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CSU11</w:t>
      </w:r>
      <w:r>
        <w:rPr>
          <w:b/>
          <w:bCs/>
          <w:sz w:val="36"/>
          <w:szCs w:val="36"/>
        </w:rPr>
        <w:t>-Consultar Pagamentos</w:t>
      </w:r>
    </w:p>
    <w:p w14:paraId="672A6659">
      <w:pPr>
        <w:jc w:val="center"/>
        <w:rPr>
          <w:b/>
          <w:sz w:val="32"/>
          <w:szCs w:val="32"/>
        </w:rPr>
      </w:pPr>
    </w:p>
    <w:p w14:paraId="7989C5E8">
      <w:pPr>
        <w:pStyle w:val="2"/>
      </w:pPr>
      <w:r>
        <w:t xml:space="preserve">Seção: </w:t>
      </w:r>
      <w:r>
        <w:rPr>
          <w:b w:val="0"/>
        </w:rPr>
        <w:t>Principal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241BD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40738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D34BE1">
            <w:pPr>
              <w:pStyle w:val="2"/>
              <w:rPr>
                <w:b w:val="0"/>
                <w:bCs/>
              </w:rPr>
            </w:pPr>
            <w:r>
              <w:rPr>
                <w:b w:val="0"/>
                <w:bCs/>
              </w:rPr>
              <w:t>25 (</w:t>
            </w:r>
            <w:r>
              <w:t>Risco Baixo e Prioridade Baixa)</w:t>
            </w:r>
          </w:p>
        </w:tc>
      </w:tr>
      <w:tr w14:paraId="228E2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32F4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060258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inquilino consulta pagamentos já feitos.</w:t>
            </w:r>
          </w:p>
        </w:tc>
      </w:tr>
      <w:tr w14:paraId="62192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571C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0EF1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Inquilino</w:t>
            </w:r>
          </w:p>
        </w:tc>
      </w:tr>
      <w:tr w14:paraId="01568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9A71A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09E9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14:paraId="39B87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5A4F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D25340">
            <w:pPr>
              <w:rPr>
                <w:sz w:val="28"/>
              </w:rPr>
            </w:pPr>
            <w:r>
              <w:rPr>
                <w:sz w:val="28"/>
              </w:rPr>
              <w:t xml:space="preserve">O inquilino fez a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14:paraId="5D9E8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E5BC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E67AC6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44396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22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16E10C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1A89E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877E8C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Ator seleciona um imóvel da tela inicial (</w:t>
            </w:r>
            <w:r>
              <w:rPr>
                <w:color w:val="FF0000"/>
                <w:sz w:val="28"/>
              </w:rPr>
              <w:t>Tela 03 - TelaInicialInquilino</w:t>
            </w:r>
            <w:r>
              <w:rPr>
                <w:sz w:val="28"/>
              </w:rPr>
              <w:t>).</w:t>
            </w:r>
          </w:p>
          <w:p w14:paraId="2AB92C83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Ator aperta o botão “Extrato dos Pagamentos” da tela de informação do imóvel (</w:t>
            </w:r>
            <w:r>
              <w:rPr>
                <w:color w:val="FF0000"/>
                <w:sz w:val="28"/>
              </w:rPr>
              <w:t>Tela 0</w:t>
            </w:r>
            <w:r>
              <w:rPr>
                <w:rFonts w:hint="default"/>
                <w:color w:val="FF0000"/>
                <w:sz w:val="28"/>
                <w:lang w:val="pt-BR"/>
              </w:rPr>
              <w:t>5</w:t>
            </w:r>
            <w:r>
              <w:rPr>
                <w:color w:val="FF0000"/>
                <w:sz w:val="28"/>
              </w:rPr>
              <w:t xml:space="preserve"> - TelaInformaçõesImóvelAlugado</w:t>
            </w:r>
            <w:r>
              <w:rPr>
                <w:rFonts w:hint="default"/>
                <w:color w:val="FF0000"/>
                <w:sz w:val="28"/>
                <w:lang w:val="pt-BR"/>
              </w:rPr>
              <w:t>Inquilino</w:t>
            </w:r>
            <w:r>
              <w:rPr>
                <w:sz w:val="28"/>
              </w:rPr>
              <w:t>).</w:t>
            </w:r>
          </w:p>
          <w:p w14:paraId="1A7B22E4">
            <w:pPr>
              <w:rPr>
                <w:sz w:val="28"/>
              </w:rPr>
            </w:pPr>
            <w:r>
              <w:rPr>
                <w:sz w:val="28"/>
              </w:rPr>
              <w:t>3. Sistema exibe tela para a consulta de pagamentos (</w:t>
            </w:r>
            <w:r>
              <w:rPr>
                <w:color w:val="FF0000"/>
                <w:sz w:val="28"/>
              </w:rPr>
              <w:t>Tela 08 - ConsultarPagamentos</w:t>
            </w:r>
            <w:r>
              <w:rPr>
                <w:sz w:val="28"/>
              </w:rPr>
              <w:t>).</w:t>
            </w:r>
          </w:p>
          <w:p w14:paraId="6DA6A710">
            <w:pPr>
              <w:rPr>
                <w:sz w:val="28"/>
              </w:rPr>
            </w:pPr>
            <w:r>
              <w:rPr>
                <w:sz w:val="28"/>
              </w:rPr>
              <w:t>4. Ator pode consultar seus pagamentos já feitos de acordo com a data.</w:t>
            </w:r>
          </w:p>
        </w:tc>
      </w:tr>
      <w:tr w14:paraId="514D1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91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A05A08">
            <w:pPr>
              <w:jc w:val="center"/>
              <w:rPr>
                <w:rFonts w:hint="default"/>
                <w:sz w:val="28"/>
                <w:lang w:val="pt-BR"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Alternativo</w:t>
            </w:r>
          </w:p>
        </w:tc>
      </w:tr>
      <w:tr w14:paraId="6B7E6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85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9ADD9B">
            <w:pPr>
              <w:rPr>
                <w:rFonts w:hint="default"/>
                <w:color w:val="FF0000"/>
                <w:sz w:val="28"/>
                <w:lang w:val="pt-BR"/>
              </w:rPr>
            </w:pPr>
            <w:r>
              <w:rPr>
                <w:rFonts w:hint="default"/>
                <w:sz w:val="28"/>
                <w:lang w:val="pt-BR"/>
              </w:rPr>
              <w:t xml:space="preserve">Linha 2: O ator aperta aperta o botão “voltar” volta para a </w:t>
            </w:r>
            <w:r>
              <w:rPr>
                <w:rFonts w:hint="default"/>
                <w:color w:val="FF0000"/>
                <w:sz w:val="28"/>
                <w:lang w:val="pt-BR"/>
              </w:rPr>
              <w:t>Tela 03</w:t>
            </w:r>
          </w:p>
          <w:p w14:paraId="4193A6EA">
            <w:pPr>
              <w:rPr>
                <w:rFonts w:hint="default"/>
                <w:color w:val="auto"/>
                <w:sz w:val="28"/>
                <w:lang w:val="pt-BR"/>
              </w:rPr>
            </w:pPr>
            <w:r>
              <w:rPr>
                <w:rFonts w:hint="default"/>
                <w:color w:val="auto"/>
                <w:sz w:val="28"/>
                <w:lang w:val="pt-BR"/>
              </w:rPr>
              <w:t xml:space="preserve">Linha 3: </w:t>
            </w:r>
            <w:r>
              <w:rPr>
                <w:rFonts w:hint="default"/>
                <w:sz w:val="28"/>
                <w:lang w:val="pt-BR"/>
              </w:rPr>
              <w:t xml:space="preserve">O ator aperta aperta o botão “voltar” volta para a </w:t>
            </w:r>
            <w:r>
              <w:rPr>
                <w:rFonts w:hint="default"/>
                <w:color w:val="FF0000"/>
                <w:sz w:val="28"/>
                <w:lang w:val="pt-BR"/>
              </w:rPr>
              <w:t>Tela 05</w:t>
            </w:r>
          </w:p>
          <w:p w14:paraId="6222B6B4">
            <w:pPr>
              <w:rPr>
                <w:rFonts w:hint="default"/>
                <w:color w:val="auto"/>
                <w:sz w:val="28"/>
                <w:lang w:val="pt-BR"/>
              </w:rPr>
            </w:pPr>
          </w:p>
        </w:tc>
      </w:tr>
      <w:tr w14:paraId="33392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49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46F938">
            <w:pPr>
              <w:jc w:val="center"/>
              <w:rPr>
                <w:rFonts w:hint="default"/>
                <w:b/>
                <w:bCs/>
                <w:sz w:val="28"/>
                <w:lang w:val="pt-BR"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de Exceção</w:t>
            </w:r>
          </w:p>
        </w:tc>
      </w:tr>
      <w:tr w14:paraId="6E5EAE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288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8A41B3">
            <w:pPr>
              <w:rPr>
                <w:rFonts w:hint="default"/>
                <w:sz w:val="28"/>
                <w:lang w:val="pt-BR"/>
              </w:rPr>
            </w:pPr>
            <w:bookmarkStart w:id="0" w:name="_GoBack"/>
            <w:r>
              <w:rPr>
                <w:rFonts w:hint="default"/>
                <w:sz w:val="28"/>
                <w:lang w:val="pt-BR"/>
              </w:rPr>
              <w:t>Linha 4: ao cliclar no botão “Visualizar” caso o ator esteja sem internet disponível no momento. O sistema informa que não é possível mostrar os pagamentos feitos por estar sem conexão com a internet.</w:t>
            </w:r>
            <w:bookmarkEnd w:id="0"/>
          </w:p>
        </w:tc>
      </w:tr>
    </w:tbl>
    <w:p w14:paraId="3856432E">
      <w:pPr>
        <w:rPr>
          <w:b/>
          <w:sz w:val="28"/>
        </w:rPr>
      </w:pPr>
    </w:p>
    <w:p w14:paraId="5DAB6C7B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14:paraId="3731B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  <w:shd w:val="clear" w:color="auto" w:fill="auto"/>
          </w:tcPr>
          <w:p w14:paraId="3EAA3E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14:paraId="5197B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51A59785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</w:tcPr>
          <w:p w14:paraId="39CA3DF6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</w:tcPr>
          <w:p w14:paraId="4FBFA336">
            <w:pPr>
              <w:jc w:val="center"/>
            </w:pPr>
            <w:r>
              <w:t>Alteração</w:t>
            </w:r>
          </w:p>
        </w:tc>
      </w:tr>
      <w:tr w14:paraId="3ECBC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3EEBBA5E">
            <w:pPr>
              <w:jc w:val="center"/>
            </w:pPr>
            <w:r>
              <w:t>22/03/2025</w:t>
            </w:r>
          </w:p>
        </w:tc>
        <w:tc>
          <w:tcPr>
            <w:tcW w:w="1800" w:type="dxa"/>
            <w:shd w:val="clear" w:color="auto" w:fill="auto"/>
          </w:tcPr>
          <w:p w14:paraId="1061ADED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shd w:val="clear" w:color="auto" w:fill="auto"/>
          </w:tcPr>
          <w:p w14:paraId="6222E890">
            <w:pPr>
              <w:jc w:val="center"/>
            </w:pPr>
            <w:r>
              <w:t>Criação do Caso de Uso</w:t>
            </w:r>
          </w:p>
        </w:tc>
      </w:tr>
      <w:tr w14:paraId="02EB3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6A05A809">
            <w:r>
              <w:t xml:space="preserve">           26/06/2025</w:t>
            </w:r>
          </w:p>
        </w:tc>
        <w:tc>
          <w:tcPr>
            <w:tcW w:w="1800" w:type="dxa"/>
            <w:shd w:val="clear" w:color="auto" w:fill="auto"/>
          </w:tcPr>
          <w:p w14:paraId="5A39BBE3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shd w:val="clear" w:color="auto" w:fill="auto"/>
          </w:tcPr>
          <w:p w14:paraId="41C8F396">
            <w:r>
              <w:t xml:space="preserve">                               Especificação das telas</w:t>
            </w:r>
          </w:p>
        </w:tc>
      </w:tr>
      <w:tr w14:paraId="6303B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7D3F04DE">
            <w:pPr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23/07/2025</w:t>
            </w:r>
          </w:p>
        </w:tc>
        <w:tc>
          <w:tcPr>
            <w:tcW w:w="1800" w:type="dxa"/>
            <w:shd w:val="clear" w:color="auto" w:fill="auto"/>
          </w:tcPr>
          <w:p w14:paraId="0D05309B">
            <w:pPr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Luiz Guilherme</w:t>
            </w:r>
          </w:p>
        </w:tc>
        <w:tc>
          <w:tcPr>
            <w:tcW w:w="6120" w:type="dxa"/>
            <w:shd w:val="clear" w:color="auto" w:fill="auto"/>
          </w:tcPr>
          <w:p w14:paraId="72C55E11">
            <w:pPr>
              <w:jc w:val="center"/>
            </w:pPr>
            <w:r>
              <w:rPr>
                <w:rFonts w:hint="default"/>
                <w:lang w:val="pt-BR"/>
              </w:rPr>
              <w:t>Criação de fluxo alternativo e fluxo de exceção</w:t>
            </w:r>
          </w:p>
        </w:tc>
      </w:tr>
    </w:tbl>
    <w:p w14:paraId="3E86E8BE">
      <w:pPr>
        <w:jc w:val="center"/>
      </w:pPr>
    </w:p>
    <w:sectPr>
      <w:pgSz w:w="11906" w:h="16838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F31B0C"/>
    <w:multiLevelType w:val="multilevel"/>
    <w:tmpl w:val="29F31B0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C5F10"/>
    <w:rsid w:val="0014723E"/>
    <w:rsid w:val="00153CF0"/>
    <w:rsid w:val="00175291"/>
    <w:rsid w:val="0017664B"/>
    <w:rsid w:val="001955DC"/>
    <w:rsid w:val="001B72A6"/>
    <w:rsid w:val="002B3DD5"/>
    <w:rsid w:val="003C351F"/>
    <w:rsid w:val="003E6527"/>
    <w:rsid w:val="00402362"/>
    <w:rsid w:val="00431137"/>
    <w:rsid w:val="0043384A"/>
    <w:rsid w:val="00455B11"/>
    <w:rsid w:val="004A3D33"/>
    <w:rsid w:val="005A6EDE"/>
    <w:rsid w:val="005C05E6"/>
    <w:rsid w:val="00697900"/>
    <w:rsid w:val="006A66D7"/>
    <w:rsid w:val="006E153E"/>
    <w:rsid w:val="00715FA3"/>
    <w:rsid w:val="00733DB0"/>
    <w:rsid w:val="007E39BF"/>
    <w:rsid w:val="00815FB9"/>
    <w:rsid w:val="00836B2D"/>
    <w:rsid w:val="0084741D"/>
    <w:rsid w:val="008D6BDF"/>
    <w:rsid w:val="00916694"/>
    <w:rsid w:val="009C5AC9"/>
    <w:rsid w:val="009D7440"/>
    <w:rsid w:val="009F4201"/>
    <w:rsid w:val="00A0100E"/>
    <w:rsid w:val="00A23832"/>
    <w:rsid w:val="00A56546"/>
    <w:rsid w:val="00A64CC3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D67AE2"/>
    <w:rsid w:val="00D94FF4"/>
    <w:rsid w:val="00DA1320"/>
    <w:rsid w:val="00DC0DA3"/>
    <w:rsid w:val="00E12956"/>
    <w:rsid w:val="00E82C99"/>
    <w:rsid w:val="00E8395E"/>
    <w:rsid w:val="00EC1F35"/>
    <w:rsid w:val="00F06CDB"/>
    <w:rsid w:val="00F52D46"/>
    <w:rsid w:val="00F8716C"/>
    <w:rsid w:val="00FC27A6"/>
    <w:rsid w:val="00FF6163"/>
    <w:rsid w:val="695A6011"/>
    <w:rsid w:val="6B7A1CE2"/>
    <w:rsid w:val="73A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Body Text Indent"/>
    <w:basedOn w:val="1"/>
    <w:link w:val="11"/>
    <w:uiPriority w:val="0"/>
    <w:pPr>
      <w:ind w:left="284"/>
    </w:pPr>
    <w:rPr>
      <w:sz w:val="28"/>
      <w:szCs w:val="20"/>
    </w:rPr>
  </w:style>
  <w:style w:type="table" w:styleId="8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ítulo 1 Char"/>
    <w:link w:val="2"/>
    <w:qFormat/>
    <w:uiPriority w:val="0"/>
    <w:rPr>
      <w:b/>
      <w:sz w:val="28"/>
    </w:rPr>
  </w:style>
  <w:style w:type="character" w:customStyle="1" w:styleId="10">
    <w:name w:val="Título 2 Char"/>
    <w:link w:val="3"/>
    <w:uiPriority w:val="0"/>
    <w:rPr>
      <w:sz w:val="28"/>
    </w:rPr>
  </w:style>
  <w:style w:type="character" w:customStyle="1" w:styleId="11">
    <w:name w:val="Recuo de corpo de texto Char"/>
    <w:link w:val="7"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Words>132</Words>
  <Characters>717</Characters>
  <Lines>5</Lines>
  <Paragraphs>1</Paragraphs>
  <TotalTime>0</TotalTime>
  <ScaleCrop>false</ScaleCrop>
  <LinksUpToDate>false</LinksUpToDate>
  <CharactersWithSpaces>848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2025-03-24T13:39:00Z</dcterms:created>
  <dc:creator>Marcos Dosea</dc:creator>
  <cp:lastModifiedBy>ziulg</cp:lastModifiedBy>
  <dcterms:modified xsi:type="dcterms:W3CDTF">2025-07-24T02:14:34Z</dcterms:modified>
  <dc:title>Cenário 1 – Devolver Livro dentro do Prazo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433BDB8E311A434C916CB07D85E458D0_13</vt:lpwstr>
  </property>
</Properties>
</file>