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MRN: </w:t>
      </w:r>
      <w:r>
        <w:rPr>
          <w:b w:val="1"/>
          <w:bCs w:val="1"/>
          <w:sz w:val="36"/>
          <w:szCs w:val="36"/>
          <w:rtl w:val="0"/>
        </w:rPr>
        <w:t xml:space="preserve">ImóvelJá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>
        <w:rPr>
          <w:rtl w:val="0"/>
        </w:rPr>
      </w:r>
    </w:p>
    <w:tbl>
      <w:tblPr>
        <w:tblStyle w:val="Table1"/>
        <w:tblW w:w="103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6"/>
        <w:tblGridChange w:id="0">
          <w:tblGrid>
            <w:gridCol w:w="1728"/>
            <w:gridCol w:w="861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RN01: Prazo para vincular um novo inquilino </w:t>
            </w: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a um imóvel após um cancelamento de um aluguel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sz w:val="32"/>
                <w:szCs w:val="32"/>
                <w:vertAlign w:val="baseline"/>
              </w:rPr>
            </w:pPr>
            <w:r>
              <w:rPr>
                <w:sz w:val="32"/>
                <w:szCs w:val="32"/>
                <w:rtl w:val="0"/>
              </w:rPr>
              <w:t xml:space="preserve">Como não há o controle de quando o proprietário está cancelando o aluguel pela plataforma (se é, por exemplo,  no prazo padrão de 30 dias para o inquilino deixar o aluguel uma vez do encerramento do contrato, como diz a </w:t>
            </w:r>
            <w:hyperlink r:id="rId7">
              <w:r>
                <w:rPr>
                  <w:color w:val="1155cc"/>
                  <w:sz w:val="32"/>
                  <w:szCs w:val="32"/>
                  <w:u w:val="single"/>
                  <w:rtl w:val="0"/>
                </w:rPr>
                <w:t xml:space="preserve">Lei do Inquilin</w:t>
              </w:r>
            </w:hyperlink>
            <w:hyperlink r:id="rId8">
              <w:r>
                <w:rPr>
                  <w:color w:val="1155cc"/>
                  <w:sz w:val="32"/>
                  <w:szCs w:val="32"/>
                  <w:u w:val="single"/>
                  <w:rtl w:val="0"/>
                </w:rPr>
                <w:t xml:space="preserve">ato</w:t>
              </w:r>
            </w:hyperlink>
            <w:r>
              <w:rPr>
                <w:sz w:val="32"/>
                <w:szCs w:val="32"/>
                <w:rtl w:val="0"/>
              </w:rPr>
              <w:t xml:space="preserve">) assim que um aluguel do imóvel é cancelado o proprietário pode alugar na plataforma para outro inquilino.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Fonte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sz w:val="32"/>
                <w:szCs w:val="32"/>
                <w:vertAlign w:val="baseline"/>
              </w:rPr>
            </w:pPr>
            <w:r>
              <w:rPr>
                <w:sz w:val="32"/>
                <w:szCs w:val="32"/>
                <w:rtl w:val="0"/>
              </w:rPr>
              <w:t xml:space="preserve">Membros Da equipe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both"/>
        <w:rPr>
          <w:b w:val="0"/>
          <w:bCs w:val="0"/>
          <w:sz w:val="32"/>
          <w:szCs w:val="32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32"/>
          <w:szCs w:val="32"/>
          <w:vertAlign w:val="baseline"/>
        </w:rPr>
      </w:pPr>
      <w:r>
        <w:rPr>
          <w:rtl w:val="0"/>
        </w:rPr>
      </w:r>
    </w:p>
    <w:tbl>
      <w:tblPr>
        <w:tblStyle w:val="Table2"/>
        <w:tblW w:w="103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6"/>
        <w:tblGridChange w:id="0">
          <w:tblGrid>
            <w:gridCol w:w="1728"/>
            <w:gridCol w:w="861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RN02: Cálculo do status de pagamento do aluguel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sz w:val="32"/>
                <w:szCs w:val="32"/>
                <w:vertAlign w:val="baseline"/>
              </w:rPr>
            </w:pPr>
            <w:r>
              <w:rPr>
                <w:sz w:val="32"/>
                <w:szCs w:val="32"/>
                <w:rtl w:val="0"/>
              </w:rPr>
              <w:t xml:space="preserve">O pagamento é classificado como "Pendente" enquanto dentro do mês corrente o valor ainda não foi pago de maneira integral e não ultrapassou a data de vencimento; "Em atraso" quando a data de vencimento é ultrapassada e o valor ainda não foi pago de maneira integral; "Pago" quando o proprietário marca a caixa "Pago" ou coloca o valor pago igual a o valor integral do aluguel (Tela_012.2). (CSU04, CSU08)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Fonte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sz w:val="32"/>
                <w:szCs w:val="32"/>
                <w:vertAlign w:val="baseline"/>
              </w:rPr>
            </w:pPr>
            <w:r>
              <w:rPr>
                <w:sz w:val="32"/>
                <w:szCs w:val="32"/>
                <w:rtl w:val="0"/>
              </w:rPr>
              <w:t xml:space="preserve">Membros da equipe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>
        <w:rPr>
          <w:rtl w:val="0"/>
        </w:rPr>
      </w:r>
    </w:p>
    <w:tbl>
      <w:tblPr>
        <w:tblStyle w:val="Table3"/>
        <w:tblW w:w="103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6"/>
        <w:tblGridChange w:id="0">
          <w:tblGrid>
            <w:gridCol w:w="1728"/>
            <w:gridCol w:w="861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RN03: Restrição de acesso às ações de gestão do aluguel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Somente o proprietário vinculado ao imóvel pode editar, cancelar aluguel ou confirmar pagamentos do aluguel. O inquilino tem acesso apenas para consultar dados e enviar comprovante de pagamento. (CSU04, CSU05, CSU08)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Fonte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Membros da equipe</w:t>
            </w:r>
          </w:p>
        </w:tc>
      </w:tr>
    </w:tbl>
    <w:p w:rsidR="00000000" w:rsidDel="00000000" w:rsidP="00000000" w:rsidRDefault="00000000" w:rsidRPr="00000000" w14:paraId="00000020">
      <w:pPr>
        <w:jc w:val="both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2"/>
          <w:szCs w:val="32"/>
        </w:rPr>
      </w:pPr>
      <w:r>
        <w:rPr>
          <w:rtl w:val="0"/>
        </w:rPr>
      </w:r>
    </w:p>
    <w:tbl>
      <w:tblPr>
        <w:tblStyle w:val="Table3"/>
        <w:tblW w:w="103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6"/>
        <w:tblGridChange w:id="0">
          <w:tblGrid>
            <w:gridCol w:w="1728"/>
            <w:gridCol w:w="861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RN04: Vínculo do inquilino com conta de usuário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Ao registrar um aluguel, se o CPF ou CNPJ informado corresponder a um usuário já cadastrado (pessoa física ou jurídica), os demais dados (nome, telefone) são preenchidos automaticamente a partir do cadastro, e o aluguel passa a ser visível para esse usuário ao acessar a plataforma como inquilino. Caso o documento não corresponda a nenhum cadastro, os dados ficam registrados apenas como texto até que um usuário crie conta com o mesmo documento, quando o vínculo é estabelecido automaticamente. (CSU05)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Fonte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Membros da equipe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32"/>
          <w:szCs w:val="32"/>
        </w:rPr>
      </w:pPr>
      <w:r>
        <w:rPr>
          <w:rtl w:val="0"/>
        </w:rPr>
      </w:r>
    </w:p>
    <w:tbl>
      <w:tblPr>
        <w:tblStyle w:val="Table3"/>
        <w:tblW w:w="103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8616"/>
        <w:tblGridChange w:id="0">
          <w:tblGrid>
            <w:gridCol w:w="1728"/>
            <w:gridCol w:w="861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RN05: Campos obrigatórios conforme tipo de pessoa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No cadastro de usuário, os campos exigidos variam conforme o tipo selecionado (física ou jurídica): pessoa física deve informar CPF e data de nascimento; pessoa jurídica deve informar CNPJ. Os demais campos (nome, e-mail, senha) são comuns aos dois tipos. (CSU01)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Fonte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Membros da equipe</w:t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32"/>
          <w:szCs w:val="32"/>
        </w:rPr>
      </w:pPr>
      <w:r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jusbrasil.com.br/artigos/qual-o-prazo-para-desocupacao-de-imovel-alugado/4321999080" TargetMode="External"/><Relationship Id="rId8" Type="http://schemas.openxmlformats.org/officeDocument/2006/relationships/hyperlink" Target="https://www.jusbrasil.com.br/artigos/qual-o-prazo-para-desocupacao-de-imovel-alugado/4321999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tuLFz51JNZBIXRN79sBSxljrQ==">CgMxLjA4AHIhMWx6YVA5WExRQVNmbmhZTXVXOW4xM2dxbTVUSEZGdTMz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