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Glossário: </w:t>
      </w:r>
      <w:r>
        <w:rPr>
          <w:b w:val="1"/>
          <w:bCs w:val="1"/>
          <w:sz w:val="36"/>
          <w:szCs w:val="36"/>
          <w:rtl w:val="0"/>
        </w:rPr>
        <w:t xml:space="preserve">ImóvelJá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0"/>
          <w:bCs w:val="0"/>
          <w:sz w:val="36"/>
          <w:szCs w:val="36"/>
          <w:vertAlign w:val="baseline"/>
        </w:rPr>
      </w:pPr>
      <w:r>
        <w:rPr>
          <w:rtl w:val="0"/>
        </w:rPr>
      </w:r>
    </w:p>
    <w:tbl>
      <w:tblPr>
        <w:tblStyle w:val="Table1"/>
        <w:tblW w:w="1070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08"/>
        <w:gridCol w:w="7896"/>
        <w:tblGridChange w:id="0">
          <w:tblGrid>
            <w:gridCol w:w="2808"/>
            <w:gridCol w:w="7896"/>
          </w:tblGrid>
        </w:tblGridChange>
      </w:tblGrid>
      <w:tr>
        <w:trPr>
          <w:cantSplit w:val="0"/>
          <w:tblHeader w:val="0"/>
        </w:trPr>
        <w:tc>
          <w:tcPr>
            <w:shd w:fill="e6e6e6" w:val="clear"/>
            <w:vAlign w:val="top"/>
          </w:tcPr>
          <w:p w:rsidR="00000000" w:rsidDel="00000000" w:rsidP="00000000" w:rsidRDefault="00000000" w:rsidRPr="00000000" w14:paraId="00000003">
            <w:pPr>
              <w:jc w:val="center"/>
              <w:rPr>
                <w:b w:val="0"/>
                <w:bCs w:val="0"/>
                <w:sz w:val="32"/>
                <w:szCs w:val="32"/>
                <w:vertAlign w:val="baseline"/>
              </w:rPr>
            </w:pPr>
            <w:r>
              <w:rPr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Termo</w:t>
            </w:r>
            <w:r>
              <w:rPr>
                <w:rtl w:val="0"/>
              </w:rPr>
            </w:r>
          </w:p>
        </w:tc>
        <w:tc>
          <w:tcPr>
            <w:shd w:fill="e6e6e6" w:val="clear"/>
            <w:vAlign w:val="top"/>
          </w:tcPr>
          <w:p w:rsidR="00000000" w:rsidDel="00000000" w:rsidP="00000000" w:rsidRDefault="00000000" w:rsidRPr="00000000" w14:paraId="00000004">
            <w:pPr>
              <w:jc w:val="center"/>
              <w:rPr>
                <w:b w:val="0"/>
                <w:bCs w:val="0"/>
                <w:sz w:val="32"/>
                <w:szCs w:val="32"/>
                <w:vertAlign w:val="baseline"/>
              </w:rPr>
            </w:pPr>
            <w:r>
              <w:rPr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Explicação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Contrato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6">
            <w:pPr>
              <w:jc w:val="both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Acordo formal e legal firmado entre o proprietário (locador) e o inquilino (locatário). Este define as regras, o tempo de uso e o valor a ser pago, garantindo segurança jurídica a ambas as partes.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7">
            <w:pPr>
              <w:jc w:val="center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Anúncio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8">
            <w:pPr>
              <w:jc w:val="both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Publicação de um imóvel na plataforma, contendo dados como tipo, área, valor e localização, disponível para venda e/ou aluguel.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Inquilino (Locatário)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A">
            <w:pPr>
              <w:jc w:val="both"/>
              <w:rPr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Pessoa que ocupa um imóvel mediante pagamento de aluguel, vinculado a um contrato (opcional). 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Proprietário (Locador)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C">
            <w:pPr>
              <w:jc w:val="both"/>
              <w:rPr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Pessoa responsável por cadastrar imóveis e gerenciar seus aluguéis. 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Comprovante de Pagamento 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E">
            <w:pPr>
              <w:jc w:val="both"/>
              <w:rPr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Documento (PDF ou imagem) anexado pelo inquilino para atestar o pagamento do aluguel referente a um mês.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rtl w:val="0"/>
              </w:rPr>
              <w:t xml:space="preserve">Vencimento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0">
            <w:pPr>
              <w:jc w:val="both"/>
              <w:rPr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Data limite estipulada para o pagamento mensal do aluguel.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1">
            <w:pPr>
              <w:jc w:val="center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Pagamento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2">
            <w:pPr>
              <w:jc w:val="both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Registro de um pagamento mensal de aluguel, com valor pago, data e status (Pendente, Em atraso ou Pago).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3">
            <w:pPr>
              <w:jc w:val="center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Plano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4">
            <w:pPr>
              <w:jc w:val="both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Nível de assinatura contratado pelo proprietário na plataforma (ex.: Básico, Profissional, Imobiliária), que define benefícios e limites, como a quantidade de imóveis que podem ser anunciados.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5">
            <w:pPr>
              <w:jc w:val="center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Assinatura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6">
            <w:pPr>
              <w:jc w:val="both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Vínculo entre um proprietário e um Plano, contendo a data de contratação, a data da próxima cobrança e o status (Ativo ou Cancelado).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7">
            <w:pPr>
              <w:jc w:val="center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Conversa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8">
            <w:pPr>
              <w:jc w:val="both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Canal de comunicação por chat entre um usuário (cliente ou inquilino) e o proprietário de um imóvel.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109">
            <w:pPr>
              <w:jc w:val="center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Mensagem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10A">
            <w:pPr>
              <w:jc w:val="both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Cada texto individual trocado entre os participantes dentro de uma Conversa.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01">
            <w:pPr>
              <w:jc w:val="center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Usuário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2">
            <w:pPr>
              <w:jc w:val="both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Credenciais de acesso (e-mail e senha) usadas apenas para autenticação na plataforma.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>
            <w:pPr>
              <w:jc w:val="center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Pessoa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>
            <w:pPr>
              <w:jc w:val="both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Superclasse que representa qualquer pessoa (física ou jurídica) cadastrada na plataforma, com dados comuns como nome e e-mail. Especializa-se em Pessoa Física ou Pessoa Jurídica conforme o tipo de cadastro.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03">
            <w:pPr>
              <w:jc w:val="center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Pessoa Física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4">
            <w:pPr>
              <w:jc w:val="both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Especialização de Pessoa para cadastros individuais, identificados por CPF, com data de nascimento.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305">
            <w:pPr>
              <w:jc w:val="center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Pessoa Jurídica</w:t>
            </w: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306">
            <w:pPr>
              <w:jc w:val="both"/>
              <w:rPr>
                <w:sz w:val="28"/>
                <w:szCs w:val="28"/>
                <w:vertAlign w:val="baseline"/>
              </w:rPr>
            </w:pPr>
            <w:r>
              <w:rPr>
                <w:sz w:val="28"/>
                <w:szCs w:val="28"/>
                <w:rtl w:val="0"/>
              </w:rPr>
              <w:t xml:space="preserve">Especialização de Pessoa para cadastros de empresas, identificados por CNPJ.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1">
            <w:pPr>
              <w:jc w:val="center"/>
              <w:rPr>
                <w:sz w:val="28"/>
                <w:szCs w:val="28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2">
            <w:pPr>
              <w:jc w:val="both"/>
              <w:rPr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jc w:val="center"/>
        <w:rPr>
          <w:b w:val="0"/>
          <w:bCs w:val="0"/>
          <w:sz w:val="32"/>
          <w:szCs w:val="32"/>
          <w:vertAlign w:val="baseline"/>
        </w:rPr>
      </w:pPr>
      <w:r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0D9gYMWGDJzm9kAuLMaYEWDr2lA==">CgMxLjA4AHIhMVZJSDRpZDE1U0JRUjdIX0V6MzFhMVBlNU1WSXNqSHFo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