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Guia de Análise e Projeto</w:t>
      </w:r>
    </w:p>
    <w:p w:rsidR="00000000" w:rsidDel="00000000" w:rsidP="00000000" w:rsidRDefault="00000000" w:rsidRPr="00000000" w14:paraId="00000003">
      <w:pPr>
        <w:pStyle w:val="Title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sz w:val="28"/>
          <w:szCs w:val="28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Índice Analítico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Conteúdo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Mapeamento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de </w:t>
            </w:r>
          </w:hyperlink>
          <w:hyperlink w:anchor="_3znysh7">
            <w:r w:rsidDel="00000000" w:rsidR="00000000" w:rsidRPr="00000000">
              <w:rPr>
                <w:rtl w:val="0"/>
              </w:rPr>
              <w:t xml:space="preserve">F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ronteira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Classe de 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ontrole</w:t>
          </w: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Classes de Controle e do tipo Entity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Classe do tipo EntityCollection</w:t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1">
      <w:pPr>
        <w:pStyle w:val="Title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Documento de Arquitetura de Software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Esse documento tem como objetivo descrever a visão de implementação do software MaisServiços e mostrar como foi feito o mapeamento das classes de análise para as classes de projeto.</w:t>
      </w:r>
    </w:p>
    <w:p w:rsidR="00000000" w:rsidDel="00000000" w:rsidP="00000000" w:rsidRDefault="00000000" w:rsidRPr="00000000" w14:paraId="00000017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Mapeamento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 de fronteira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Assim era a fronteira de cliente:</w:t>
      </w:r>
      <w:r w:rsidDel="00000000" w:rsidR="00000000" w:rsidRPr="00000000">
        <w:rPr>
          <w:sz w:val="24"/>
          <w:szCs w:val="24"/>
          <w:rtl w:val="0"/>
        </w:rPr>
        <w:t xml:space="preserve"> Para cada classe de fronteira encontrada é criado um pacote dentro do pacote ManterClienteWeb nomeado de acordo com o nome da classe de fronteira eliminando a parte “TelaManterCliente”, caso exista. Dentro desse pacote é chamada uma classe Controladora.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815280</wp:posOffset>
            </wp:positionV>
            <wp:extent cx="1181100" cy="1428750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1123950</wp:posOffset>
            </wp:positionH>
            <wp:positionV relativeFrom="paragraph">
              <wp:posOffset>184770</wp:posOffset>
            </wp:positionV>
            <wp:extent cx="1162050" cy="1295400"/>
            <wp:effectExtent b="0" l="0" r="0" t="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——&gt;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1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</w:t>
      </w:r>
    </w:p>
    <w:p w:rsidR="00000000" w:rsidDel="00000000" w:rsidP="00000000" w:rsidRDefault="00000000" w:rsidRPr="00000000" w14:paraId="0000003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controle encontrada é criada uma classe  nomeado de acordo com o nome da classe de controle eliminando estereótipo. Adiciona-se o nome “Service” no final do nome da classe. A classe é armazenada no pacote Service.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3733800</wp:posOffset>
            </wp:positionH>
            <wp:positionV relativeFrom="paragraph">
              <wp:posOffset>280020</wp:posOffset>
            </wp:positionV>
            <wp:extent cx="1257300" cy="1362075"/>
            <wp:effectExtent b="0" l="0" r="0" t="0"/>
            <wp:wrapNone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tabs>
          <w:tab w:val="left" w:leader="none" w:pos="553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685800</wp:posOffset>
            </wp:positionH>
            <wp:positionV relativeFrom="paragraph">
              <wp:posOffset>132011</wp:posOffset>
            </wp:positionV>
            <wp:extent cx="1304925" cy="1304925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  <w:u w:val="single"/>
        </w:rPr>
      </w:pPr>
      <w:bookmarkStart w:colFirst="0" w:colLast="0" w:name="_2pk8q72hl8hh" w:id="4"/>
      <w:bookmarkEnd w:id="4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</w:t>
      </w:r>
      <w:r w:rsidDel="00000000" w:rsidR="00000000" w:rsidRPr="00000000">
        <w:rPr>
          <w:sz w:val="24"/>
          <w:szCs w:val="24"/>
          <w:u w:val="single"/>
        </w:rPr>
        <mc:AlternateContent>
          <mc:Choice Requires="wpg">
            <w:drawing>
              <wp:inline distB="114300" distT="114300" distL="114300" distR="114300">
                <wp:extent cx="1176338" cy="2762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176338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176338" cy="276225"/>
                <wp:effectExtent b="0" l="0" r="0" 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6338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q7zd87o3dwo4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jlsrdh7sep2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6yn8uneyhius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bz6qyvkup02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r4l3pnp3gk8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w3jf6g6g26ps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oufhpu9fvj5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  <w:u w:val="single"/>
        </w:rPr>
      </w:pPr>
      <w:bookmarkStart w:colFirst="0" w:colLast="0" w:name="_2et92p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Classes de controle e do tipo Entity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Para cada classe do tipo Entity encontrada é criada uma classe nomeada de acordo com o nome da classe de entidade eliminando o estereótipo. Adiciona-se o método “Validar” nona classe. A classe é armazenada no pacote Core.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138112</wp:posOffset>
            </wp:positionV>
            <wp:extent cx="1295400" cy="2266950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146038</wp:posOffset>
            </wp:positionV>
            <wp:extent cx="1266825" cy="2257425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rPr>
          <w:b w:val="1"/>
          <w:sz w:val="24"/>
          <w:szCs w:val="24"/>
        </w:rPr>
      </w:pPr>
      <w:bookmarkStart w:colFirst="0" w:colLast="0" w:name="_2pk8q72hl8h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2333625</wp:posOffset>
                </wp:positionH>
                <wp:positionV relativeFrom="paragraph">
                  <wp:posOffset>228042</wp:posOffset>
                </wp:positionV>
                <wp:extent cx="1590675" cy="276225"/>
                <wp:effectExtent b="0" l="0" r="0" t="0"/>
                <wp:wrapNone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Classe do tipo EntityCollection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As classes do tipo EntityCollection estão na pasta Analysis Model. A Figura 3 apresenta um exemplo desse mapeamento.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281880</wp:posOffset>
            </wp:positionV>
            <wp:extent cx="1295400" cy="1152525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52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4314825</wp:posOffset>
            </wp:positionH>
            <wp:positionV relativeFrom="paragraph">
              <wp:posOffset>121890</wp:posOffset>
            </wp:positionV>
            <wp:extent cx="1295400" cy="1133475"/>
            <wp:effectExtent b="0" l="0" r="0" t="0"/>
            <wp:wrapNone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133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28250" y="2425075"/>
                          <a:ext cx="1590675" cy="276225"/>
                          <a:chOff x="1728250" y="2425075"/>
                          <a:chExt cx="2124650" cy="257700"/>
                        </a:xfrm>
                      </wpg:grpSpPr>
                      <wps:wsp>
                        <wps:cNvCnPr/>
                        <wps:spPr>
                          <a:xfrm>
                            <a:off x="1728250" y="2591200"/>
                            <a:ext cx="1949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697475" y="2459350"/>
                            <a:ext cx="10200" cy="223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677350" y="2428750"/>
                            <a:ext cx="172500" cy="14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17825" y="2571000"/>
                            <a:ext cx="101400" cy="1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2238375</wp:posOffset>
                </wp:positionH>
                <wp:positionV relativeFrom="paragraph">
                  <wp:posOffset>198165</wp:posOffset>
                </wp:positionV>
                <wp:extent cx="1590675" cy="276225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ind w:right="36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Engenharia de Software II, 2023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D">
          <w:pPr>
            <w:rPr/>
          </w:pPr>
          <w:r w:rsidDel="00000000" w:rsidR="00000000" w:rsidRPr="00000000">
            <w:rPr>
              <w:rtl w:val="0"/>
            </w:rPr>
            <w:t xml:space="preserve">+Serviços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E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1.0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6F">
          <w:pPr>
            <w:rPr/>
          </w:pPr>
          <w:r w:rsidDel="00000000" w:rsidR="00000000" w:rsidRPr="00000000">
            <w:rPr>
              <w:rtl w:val="0"/>
            </w:rPr>
            <w:t xml:space="preserve">Guia de Análise e Projeto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70">
          <w:pPr>
            <w:rPr/>
          </w:pPr>
          <w:r w:rsidDel="00000000" w:rsidR="00000000" w:rsidRPr="00000000">
            <w:rPr>
              <w:rtl w:val="0"/>
            </w:rPr>
            <w:t xml:space="preserve">  Date: 14/08/2023</w:t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bottom w:color="000000" w:space="1" w:sz="6" w:val="single"/>
      </w:pBdr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Engenharia de Software II</w:t>
    </w:r>
  </w:p>
  <w:p w:rsidR="00000000" w:rsidDel="00000000" w:rsidP="00000000" w:rsidRDefault="00000000" w:rsidRPr="00000000" w14:paraId="00000075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eader" Target="header2.xml"/><Relationship Id="rId18" Type="http://schemas.openxmlformats.org/officeDocument/2006/relationships/header" Target="header1.xml"/><Relationship Id="rId7" Type="http://schemas.openxmlformats.org/officeDocument/2006/relationships/image" Target="media/image7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