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CSU08 - Manter veículo</w:t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 </w:t>
      </w:r>
      <w:r w:rsidDel="00000000" w:rsidR="00000000" w:rsidRPr="00000000">
        <w:rPr>
          <w:sz w:val="32"/>
          <w:szCs w:val="32"/>
          <w:rtl w:val="0"/>
        </w:rPr>
        <w:t xml:space="preserve">Principal</w:t>
      </w:r>
    </w:p>
    <w:tbl>
      <w:tblPr>
        <w:tblStyle w:val="Table1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inserir e alterar dados de um veículo.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Sistema exibe uma tela solicitando fotos do CRLV e do veículo (Tela 19).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pressiona o botão “Abrir Câmera” para registrar uma foto ou o botão “Arquivo” para selecionar uma foto em sua galeria e pressiona o botão “CONTINUAR”.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informa os dados do CRLV e pressiona o botão “CONFIRMAR”.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verifica a validade dos dados conforme DD - Viagem.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grava dados informados em meio persistente.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Sistema exibe tela que oferece o acesso à 2 opções disponibilizadas pelo sistema, a qual é: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Dados do Veículo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Inserção: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Seção Inserir Veículo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Fluxos de Exceção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Inserir Veículo</w:t>
      </w:r>
    </w:p>
    <w:tbl>
      <w:tblPr>
        <w:tblStyle w:val="Table3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um novo veículo.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realiza seu cadastro, conforme CSU07.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insere os dados do veículo (Tela 17 a 20).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verifica a validade dos dados conforme DD - Viagem.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grava dados informados em meio persistente.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Alterar Dados do Veículo</w:t>
      </w:r>
    </w:p>
    <w:tbl>
      <w:tblPr>
        <w:tblStyle w:val="Table5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veículo desejado.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botão “Editar perfil”. (Tela 23)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pressiona botão “Editar CRLV e veículo”. (Tela 25)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verifica a validade dos dados conforme DD - Viagem.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grava dados informados em meio persistente.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retorna ao passo 2 da seção principal. 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</w:t>
      </w:r>
    </w:p>
    <w:tbl>
      <w:tblPr>
        <w:tblStyle w:val="Table7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Eliane Dantas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01/04/2023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Eliane Dantas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B0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70447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FA26F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FA26F5"/>
    <w:pPr>
      <w:spacing w:after="100" w:afterAutospacing="1" w:before="100" w:beforeAutospacing="1"/>
    </w:p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eqR+0MddjjozrLF/Fh7htvffvg==">AMUW2mXX0tugZofTTHIqTwEsIYPdvanHysC1+CPjERC8Xe6fwSFmkNlBMlAuXxMGjUijcr9fr0Rs3YYOfZo9LVvWg3Jp/BY1vYaqJM8j+1CbzAu2XuSzo6lDofslhFXlMfDVqCRQoGI/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2023-03-19T13:25:00Z</dcterms:created>
  <dc:creator>natalia</dc:creator>
</cp:coreProperties>
</file>