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>CSU11-Visualizar avaliações de pessoas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Seção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: Principal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10"/>
        <w:gridCol w:w="1021"/>
        <w:gridCol w:w="379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Importância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60  (Risco Baixo e Prioridade Alta)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Sumário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O administrador visualiza as avaliações feitas pelos doadores de materiais recicláveis.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Ator Primário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Administrador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Ator Secundário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Pré-Condição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Os doadores devem ter se cadastrado no sistema e feito uma doação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Pós-Condição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Fluxo Principal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Ação do Ator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Resposta do Sistema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O administrador entrará nos sistemas para visualizar as avaliações feitas pelos doadores com relação às doações de materiais recicláveis. (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8"/>
                <w:shd w:val="clear" w:fill="auto"/>
              </w:rPr>
              <w:t>tela:ManterAdministradorVisualizarAvaliaçãodePessoasVerMais - CSU007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)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Ator seleciona no menu (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8"/>
                <w:shd w:val="clear" w:fill="auto"/>
              </w:rPr>
              <w:t>tela: ManterAdministradorVisualizarAvaliaçãodePessoas - CSU007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) a opção de visualizar as avaliações dos doadores.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3.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O sistema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 exibe a tela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contendo os dados das avaliações dos doadores (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8"/>
                <w:shd w:val="clear" w:fill="auto"/>
              </w:rPr>
              <w:t>tela: ManterAdministradorVisualizarAvaliaçãodePessoas - CSU007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).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Ator verifica as avaliações (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8"/>
                <w:shd w:val="clear" w:fill="auto"/>
              </w:rPr>
              <w:t xml:space="preserve">tela: 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8"/>
                <w:shd w:val="clear" w:fill="auto"/>
              </w:rPr>
              <w:t>ManterAdministradorVisualizarAvaliaçãodePessoas - CSU007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)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Fluxos Alternativos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147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Fluxos de Exceção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147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2E76F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2021-09-21T07:38:11Z</dcterms:created>
  <dc:creator>natha</dc:creator>
  <cp:lastModifiedBy>Nathan Santos</cp:lastModifiedBy>
  <dcterms:modified xsi:type="dcterms:W3CDTF">2021-09-21T07:38:28Z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71849CE8852C4DB1B6D1FA4C0D738498</vt:lpwstr>
  </property>
</Properties>
</file>