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4"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v3: traição consumada (câmera na cozinha) com reconquista no 11º dia; esposa sem nome e sem rosto.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nem mostrar o rosto (de costas/desfocada,</w:t>
            </w:r>
            <w:r>
              <w:t xml:space="preserve"> </w:t>
            </w:r>
            <w:r>
              <w:t xml:space="preserve">“</w:t>
            </w:r>
            <w:r>
              <w:t xml:space="preserve">a esposa pediu para ser protegida</w:t>
            </w:r>
            <w:r>
              <w:t xml:space="preserve">”</w:t>
            </w:r>
            <w:r>
              <w:t xml:space="preserve">). Emotional v3: confissão da traição consumada (</w:t>
            </w:r>
            <w:r>
              <w:t xml:space="preserve">“</w:t>
            </w:r>
            <w:r>
              <w:t xml:space="preserve">o garoto não era bonito, era duro, por horas; tenho vergonha</w:t>
            </w:r>
            <w:r>
              <w:t xml:space="preserve">”</w:t>
            </w:r>
            <w:r>
              <w:t xml:space="preserve">). Ela volta no 11º dia (reconquista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capataz velho</w:t>
            </w:r>
            <w:r>
              <w:t xml:space="preserve"> </w:t>
            </w:r>
            <w:r>
              <w:t xml:space="preserve">(mentor, dono do segredo)</w:t>
            </w:r>
          </w:p>
        </w:tc>
        <w:tc>
          <w:tcPr/>
          <w:p>
            <w:pPr>
              <w:pStyle w:val="Compact"/>
              <w:jc w:val="left"/>
            </w:pPr>
            <w:r>
              <w:t xml:space="preserve">70+, tocou o rancho por 40 anos e veio com a compra; chefe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Lakiha, nomeada (decisão do Marcos em 12/10/2026). Rosto fora da câmera (dublê de costas, mão, cabelo; na entrevista, de costas ou desfocada).</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rancho (decisão de 12/10/2026):</w:t>
      </w:r>
      <w:r>
        <w:t xml:space="preserve"> </w:t>
      </w:r>
      <w:r>
        <w:t xml:space="preserve">o Mike</w:t>
      </w:r>
      <w:r>
        <w:t xml:space="preserve"> </w:t>
      </w:r>
      <w:r>
        <w:rPr>
          <w:bCs/>
          <w:b/>
        </w:rPr>
        <w:t xml:space="preserve">comprou um rancho em Fort Worth</w:t>
      </w:r>
      <w:r>
        <w:t xml:space="preserve"> </w:t>
      </w:r>
      <w:r>
        <w:t xml:space="preserve">oito semanas antes de Arlington como base do camp contra o Jake Paul. Fort Worth é a cidade dos Longhorn, a 20 minutos do estádio. O gado, o capataz velho (40 anos tocando o lugar) e os peões vieram com a compra. Tudo acontece em terra do Mike: a casa, a câmera, o galpão com o saco, o alojamento do rival.</w:t>
      </w:r>
      <w:r>
        <w:t xml:space="preserve"> </w:t>
      </w:r>
      <w:r>
        <w:t xml:space="preserve">-</w:t>
      </w:r>
      <w:r>
        <w:t xml:space="preserve"> </w:t>
      </w:r>
      <w:r>
        <w:rPr>
          <w:bCs/>
          <w:b/>
        </w:rPr>
        <w:t xml:space="preserve">O rival:</w:t>
      </w:r>
      <w:r>
        <w:t xml:space="preserve"> </w:t>
      </w:r>
      <w:r>
        <w:t xml:space="preserve">o peão que veio com o rancho, 30 e poucos, monta touro, dorme no alojamento a duzentos metros da casa. Tecnicamente trabalha para o Mike. É quem tem acesso ao pó do galpão e é o cowboy que ela vê todo dia.</w:t>
      </w:r>
      <w:r>
        <w:t xml:space="preserve"> </w:t>
      </w:r>
      <w:r>
        <w:t xml:space="preserve">-</w:t>
      </w:r>
      <w:r>
        <w:t xml:space="preserve"> </w:t>
      </w:r>
      <w:r>
        <w:rPr>
          <w:bCs/>
          <w:b/>
        </w:rPr>
        <w:t xml:space="preserve">A câmera:</w:t>
      </w:r>
      <w:r>
        <w:t xml:space="preserve"> </w:t>
      </w:r>
      <w:r>
        <w:t xml:space="preserve">a segurança do Mike instala câmera em toda casa onde ele fica; agora é a casa dele. Ele nunca olhava as gravações até sentir o cheiro diferente na caminhonete. A câmera do galpão (contra roubo de gado, veio com o rancho)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oito semanas antes da luta, o Mike compra um rancho em Fort Worth (Longhorn, 20 minutos de Arlington) como base do camp. O gado, o capataz velho e os peões vêm com a compra. A esposa vai junto</w:t>
      </w:r>
      <w:r>
        <w:t xml:space="preserve"> </w:t>
      </w:r>
      <w:r>
        <w:t xml:space="preserve">“</w:t>
      </w:r>
      <w:r>
        <w:t xml:space="preserve">para cuidar dele</w:t>
      </w:r>
      <w:r>
        <w:t xml:space="preserve">”</w:t>
      </w:r>
      <w:r>
        <w:t xml:space="preserve">.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bovino de confinamento de pote de ruga, nem o equino de estábulo; é tendão de touro de pasto que vive 25 anos.</w:t>
            </w:r>
            <w:r>
              <w:t xml:space="preserve">”</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colágeno bovino de confinamento, nem o equino de estábulo; é tendão de touro de pasto que vive 25 anos.</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X02b48e3dca1ea44d6852daf5718f5e8c9f6c110"/>
    <w:p>
      <w:pPr>
        <w:pStyle w:val="Heading2"/>
      </w:pPr>
      <w:r>
        <w:t xml:space="preserve">Regra de estilo da copy (registrada em 12/10/2026)</w:t>
      </w:r>
    </w:p>
    <w:p>
      <w:pPr>
        <w:numPr>
          <w:ilvl w:val="0"/>
          <w:numId w:val="1022"/>
        </w:numPr>
      </w:pPr>
      <w:r>
        <w:rPr>
          <w:bCs/>
          <w:b/>
        </w:rPr>
        <w:t xml:space="preserve">Modelagem:</w:t>
      </w:r>
      <w:r>
        <w:t xml:space="preserve"> </w:t>
      </w:r>
      <w:r>
        <w:t xml:space="preserve">cada bloco é escrito em cima da estrutura invisível do bloco equivalente da</w:t>
      </w:r>
      <w:r>
        <w:t xml:space="preserve"> </w:t>
      </w:r>
      <w:r>
        <w:rPr>
          <w:bCs/>
          <w:b/>
        </w:rPr>
        <w:t xml:space="preserve">Soda Horse</w:t>
      </w:r>
      <w:r>
        <w:t xml:space="preserve"> </w:t>
      </w:r>
      <w:r>
        <w:t xml:space="preserve">(ordem psicológica e função de cada parágrafo), adaptado à nossa VSL com toques originais. Alpha Erec e Horse Jelly entram só nas provas e em frases pontuais.</w:t>
      </w:r>
    </w:p>
    <w:p>
      <w:pPr>
        <w:numPr>
          <w:ilvl w:val="0"/>
          <w:numId w:val="1022"/>
        </w:numPr>
      </w:pPr>
      <w:r>
        <w:rPr>
          <w:bCs/>
          <w:b/>
        </w:rPr>
        <w:t xml:space="preserve">Voz:</w:t>
      </w:r>
      <w:r>
        <w:t xml:space="preserve"> </w:t>
      </w:r>
      <w:r>
        <w:t xml:space="preserve">a da Soda Horse. Conversa de homem com homem. Palavra forte e concreta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 Frases curtas quando dói. Nada de tom de palestra ou de artigo.</w:t>
      </w:r>
    </w:p>
    <w:p>
      <w:pPr>
        <w:numPr>
          <w:ilvl w:val="0"/>
          <w:numId w:val="1022"/>
        </w:numPr>
      </w:pPr>
      <w:r>
        <w:rPr>
          <w:bCs/>
          <w:b/>
        </w:rPr>
        <w:t xml:space="preserve">Conteúdo do expert:</w:t>
      </w:r>
      <w:r>
        <w:t xml:space="preserve"> </w:t>
      </w:r>
      <w:r>
        <w:t xml:space="preserve">sempre do Huberman (podcast, protocolos, banho gelado, sol, sono, testosterona), nunca os fatos do Attia. Attia não é apresentado no background; entra onde a história precisa de médico (ressonância, piloto).</w:t>
      </w:r>
    </w:p>
    <w:p>
      <w:pPr>
        <w:numPr>
          <w:ilvl w:val="0"/>
          <w:numId w:val="1022"/>
        </w:numPr>
      </w:pPr>
      <w:r>
        <w:rPr>
          <w:bCs/>
          <w:b/>
        </w:rPr>
        <w:t xml:space="preserve">Nome do mecanismo:</w:t>
      </w:r>
      <w:r>
        <w:t xml:space="preserve"> </w:t>
      </w:r>
      <w:r>
        <w:t xml:space="preserve">“</w:t>
      </w:r>
      <w:r>
        <w:t xml:space="preserve">placa tóxica</w:t>
      </w:r>
      <w:r>
        <w:t xml:space="preserve">”</w:t>
      </w:r>
      <w:r>
        <w:t xml:space="preserve"> </w:t>
      </w:r>
      <w:r>
        <w:t xml:space="preserve">/</w:t>
      </w:r>
      <w:r>
        <w:t xml:space="preserve"> </w:t>
      </w:r>
      <w:r>
        <w:t xml:space="preserve">“</w:t>
      </w:r>
      <w:r>
        <w:t xml:space="preserve">toxic plaque</w:t>
      </w:r>
      <w:r>
        <w:t xml:space="preserve">”</w:t>
      </w:r>
      <w:r>
        <w:t xml:space="preserve"> </w:t>
      </w:r>
      <w:r>
        <w:t xml:space="preserve">(decisão de 13/10/2026, revertendo</w:t>
      </w:r>
      <w:r>
        <w:t xml:space="preserve"> </w:t>
      </w:r>
      <w:r>
        <w:t xml:space="preserve">“</w:t>
      </w:r>
      <w:r>
        <w:t xml:space="preserve">placa castradora</w:t>
      </w:r>
      <w:r>
        <w:t xml:space="preserve">”</w:t>
      </w:r>
      <w:r>
        <w:t xml:space="preserve">). A placa é feita das toxinas que a VSL cita (glifosato da ração e da comida; PFAS da chuva).</w:t>
      </w:r>
      <w:r>
        <w:t xml:space="preserve"> </w:t>
      </w:r>
      <w:r>
        <w:t xml:space="preserve">“</w:t>
      </w:r>
      <w:r>
        <w:t xml:space="preserve">Cimento</w:t>
      </w:r>
      <w:r>
        <w:t xml:space="preserve">”</w:t>
      </w:r>
      <w:r>
        <w:t xml:space="preserve"> </w:t>
      </w:r>
      <w:r>
        <w:t xml:space="preserve">é o que ela faz com a esponja. Uso como na Soda Horse: nomear uma vez com cerimônia na tese, reforçar no</w:t>
      </w:r>
      <w:r>
        <w:t xml:space="preserve"> </w:t>
      </w:r>
      <w:r>
        <w:t xml:space="preserve">“</w:t>
      </w:r>
      <w:r>
        <w:t xml:space="preserve">não é idade</w:t>
      </w:r>
      <w:r>
        <w:t xml:space="preserve">”</w:t>
      </w:r>
      <w:r>
        <w:t xml:space="preserve">, definir em uma frase no Dissolver, repetir só no produto, oferta e fechamento; no resto,</w:t>
      </w:r>
      <w:r>
        <w:t xml:space="preserve"> </w:t>
      </w:r>
      <w:r>
        <w:t xml:space="preserve">“</w:t>
      </w:r>
      <w:r>
        <w:t xml:space="preserve">cimento</w:t>
      </w:r>
      <w:r>
        <w:t xml:space="preserve">”</w:t>
      </w:r>
      <w:r>
        <w:t xml:space="preserve">.</w:t>
      </w:r>
    </w:p>
    <w:p>
      <w:pPr>
        <w:numPr>
          <w:ilvl w:val="0"/>
          <w:numId w:val="1022"/>
        </w:numPr>
      </w:pPr>
      <w:r>
        <w:rPr>
          <w:bCs/>
          <w:b/>
        </w:rPr>
        <w:t xml:space="preserve">Escrita:</w:t>
      </w:r>
      <w:r>
        <w:t xml:space="preserve"> </w:t>
      </w:r>
      <w:r>
        <w:t xml:space="preserve">segue o guia interno de comunicação (</w:t>
      </w:r>
      <w:r>
        <w:rPr>
          <w:rStyle w:val="VerbatimChar"/>
        </w:rPr>
        <w:t xml:space="preserve">referencias/Comunicacao_Copywriting_guia_interno.md</w:t>
      </w:r>
      <w:r>
        <w:t xml:space="preserve">): A-B-C, momentum, uma ideia por frase, grupos de três, mostrar em vez de dizer, bucket brigades, ler em voz alta.</w:t>
      </w:r>
    </w:p>
    <w:p>
      <w:pPr>
        <w:numPr>
          <w:ilvl w:val="0"/>
          <w:numId w:val="1022"/>
        </w:numPr>
      </w:pPr>
      <w:r>
        <w:rPr>
          <w:bCs/>
          <w:b/>
        </w:rPr>
        <w:t xml:space="preserve">Fio</w:t>
      </w:r>
      <w:r>
        <w:rPr>
          <w:bCs/>
          <w:b/>
        </w:rPr>
        <w:t xml:space="preserve"> </w:t>
      </w:r>
      <w:r>
        <w:rPr>
          <w:bCs/>
          <w:b/>
        </w:rPr>
        <w:t xml:space="preserve">“</w:t>
      </w:r>
      <w:r>
        <w:rPr>
          <w:bCs/>
          <w:b/>
        </w:rPr>
        <w:t xml:space="preserve">Everything’s bigger in Texas</w:t>
      </w:r>
      <w:r>
        <w:rPr>
          <w:bCs/>
          <w:b/>
        </w:rPr>
        <w:t xml:space="preserve">”</w:t>
      </w:r>
      <w:r>
        <w:rPr>
          <w:bCs/>
          <w:b/>
        </w:rPr>
        <w:t xml:space="preserve"> </w:t>
      </w:r>
      <w:r>
        <w:rPr>
          <w:bCs/>
          <w:b/>
        </w:rPr>
        <w:t xml:space="preserve">(decisão de 13/10/2026):</w:t>
      </w:r>
      <w:r>
        <w:t xml:space="preserve"> </w:t>
      </w:r>
      <w:r>
        <w:t xml:space="preserve">usar só em dois lugares, para não forçar. (1) Discovery, no mundo dos Longhorn:</w:t>
      </w:r>
      <w:r>
        <w:t xml:space="preserve"> </w:t>
      </w:r>
      <w:r>
        <w:t xml:space="preserve">“</w:t>
      </w:r>
      <w:r>
        <w:t xml:space="preserve">You think that’s about the trucks and the steaks. It’s about the bulls… That saying isn’t a joke. It’s a clue.</w:t>
      </w:r>
      <w:r>
        <w:t xml:space="preserve">”</w:t>
      </w:r>
      <w:r>
        <w:t xml:space="preserve"> </w:t>
      </w:r>
      <w:r>
        <w:t xml:space="preserve">Única vez em lettering. (2) MUS, no verbo RECONSTRUIR, junto da régua do piloto:</w:t>
      </w:r>
      <w:r>
        <w:t xml:space="preserve"> </w:t>
      </w:r>
      <w:r>
        <w:t xml:space="preserve">“</w:t>
      </w:r>
      <w:r>
        <w:t xml:space="preserve">Three inches in 30 days. Everything’s bigger in Texas. Now it’s got a reason.</w:t>
      </w:r>
      <w:r>
        <w:t xml:space="preserve">”</w:t>
      </w:r>
      <w:r>
        <w:t xml:space="preserve"> </w:t>
      </w:r>
      <w:r>
        <w:t xml:space="preserve">Só na voz. Fora da lead, do emotional e do close.</w:t>
      </w:r>
    </w:p>
    <w:bookmarkEnd w:id="52"/>
    <w:bookmarkStart w:id="53" w:name="pendências-e-decisões-em-aberto"/>
    <w:p>
      <w:pPr>
        <w:pStyle w:val="Heading2"/>
      </w:pPr>
      <w:r>
        <w:t xml:space="preserve">Pendências e decisões em aberto</w:t>
      </w:r>
    </w:p>
    <w:p>
      <w:pPr>
        <w:numPr>
          <w:ilvl w:val="0"/>
          <w:numId w:val="1023"/>
        </w:numPr>
        <w:pStyle w:val="Compact"/>
      </w:pPr>
      <w:r>
        <w:t xml:space="preserve">Contrato de imagem de Julia Ann (define se a micro-lead sai com nome ou com persona anônima).</w:t>
      </w:r>
    </w:p>
    <w:p>
      <w:pPr>
        <w:numPr>
          <w:ilvl w:val="0"/>
          <w:numId w:val="1023"/>
        </w:numPr>
        <w:pStyle w:val="Compact"/>
      </w:pPr>
      <w:r>
        <w:t xml:space="preserve">Nome final: SodaFil vs Texas Bull Soda vs Ranch Soda Peak (teste de thumbnail).</w:t>
      </w:r>
    </w:p>
    <w:p>
      <w:pPr>
        <w:numPr>
          <w:ilvl w:val="0"/>
          <w:numId w:val="1023"/>
        </w:numPr>
        <w:pStyle w:val="Compact"/>
      </w:pPr>
      <w:r>
        <w:t xml:space="preserve">A/B 1: micro-lead Julia Ann vs mulher do interior 35+.</w:t>
      </w:r>
    </w:p>
    <w:p>
      <w:pPr>
        <w:numPr>
          <w:ilvl w:val="0"/>
          <w:numId w:val="1023"/>
        </w:numPr>
        <w:pStyle w:val="Compact"/>
      </w:pPr>
      <w:r>
        <w:t xml:space="preserve">A/B 2: lead por Ideia 1 (touro) vs Ideia 2 (Arlington) vs Ideia 3 (Huberman confessa).</w:t>
      </w:r>
    </w:p>
    <w:p>
      <w:pPr>
        <w:numPr>
          <w:ilvl w:val="0"/>
          <w:numId w:val="1023"/>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3"/>
        </w:numPr>
        <w:pStyle w:val="Compact"/>
      </w:pPr>
      <w:r>
        <w:t xml:space="preserve">Briefings de edição (pique Jelly Fil) ainda não recebidos.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2026-10-13T17:12:40Z</dcterms:created>
  <dcterms:modified xsi:type="dcterms:W3CDTF">2026-10-13T17:12:40Z</dcterms:modified>
</cp:coreProperties>
</file>

<file path=docProps/custom.xml><?xml version="1.0" encoding="utf-8"?>
<Properties xmlns="http://schemas.openxmlformats.org/officeDocument/2006/custom-properties" xmlns:vt="http://schemas.openxmlformats.org/officeDocument/2006/docPropsVTypes"/>
</file>