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Bull Soda Rise</w:t>
      </w:r>
      <w:r>
        <w:t xml:space="preserve"> </w:t>
      </w:r>
      <w:r>
        <w:t xml:space="preserve">(nome atualizado em 15/10/2026; substitui SodaFil, fechado em 09/10/2026; os arquivos de copy mantêm</w:t>
      </w:r>
      <w:r>
        <w:t xml:space="preserve"> </w:t>
      </w:r>
      <w:r>
        <w:t xml:space="preserve">“</w:t>
      </w:r>
      <w:r>
        <w:t xml:space="preserve">SodaFil</w:t>
      </w:r>
      <w:r>
        <w:t xml:space="preserve">”</w:t>
      </w:r>
      <w:r>
        <w:t xml:space="preserve"> </w:t>
      </w:r>
      <w:r>
        <w:t xml:space="preserve">no nome do arquivo como código interno do projeto).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do núcleo do chifre de touro reprodutor Longhorn (decisão de 14/10: chifre, não tendão; a única parte do Longhorn que nunca para de crescer),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do chifre de touro reprodutor Longhorn;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do chifre de touro reprodutor Longhorn.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do chifre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couro de boi de confinamento abatido com 18 meses que vendem em pote pra ruga; é o núcleo do chifre de um touro reprodutor, a única parte dele que nunca para de crescer.</w:t>
            </w:r>
            <w:r>
              <w:t xml:space="preserve">”</w:t>
            </w:r>
            <w:r>
              <w:t xml:space="preserve"> </w:t>
            </w:r>
            <w:r>
              <w:t xml:space="preserve">(14/10: chifre, não tendão; 13/10: desqualificação por idade e função, não por dieta, porque o Longhorn come a ração do saco.)</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 (por idade e função do animal).</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couro de boi de confinamento de 18 meses que vendem em pote; é o núcleo do chifre de um touro reprodutor, a única parte dele que nunca para de crescer.</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do chifre de touro reprodutor Longhorn, a única parte dele que nunca para de crescer</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humanizar a explicação e provar com o que é testável no próprio cara. Cada fato do mecanismo é traduzido para algo que ele já passou ou passa (mole na mão dela, tapinha nas costas, fingir cansaço, matinal que sumiu, Viagra que foi enfraquecendo, chuveiro). Ele ouve a explicação, lembra do que aconteceu na cama, e entende sem precisar acreditar em ninguém: a prova é a memória dele. Número e fonte ficam na tela; a voz gasta as palavras na cena. Nenhum parágrafo da tese termina no fato: termina na lembrança dele. Camadas por premissa no doc 11, Parte 6.</w:t>
      </w:r>
    </w:p>
    <w:p>
      <w:pPr>
        <w:numPr>
          <w:ilvl w:val="0"/>
          <w:numId w:val="1022"/>
        </w:numPr>
      </w:pPr>
      <w:r>
        <w:rPr>
          <w:bCs/>
          <w:b/>
        </w:rPr>
        <w:t xml:space="preserve">Sem pudor na fala (decisão de 13/10/2026):</w:t>
      </w:r>
      <w:r>
        <w:t xml:space="preserve"> </w:t>
      </w:r>
      <w:r>
        <w:t xml:space="preserve">a tese explora o vocabulário cru do prospect, não o do médico.</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broxar</w:t>
      </w:r>
      <w:r>
        <w:t xml:space="preserve">”</w:t>
      </w:r>
      <w:r>
        <w:t xml:space="preserve">,</w:t>
      </w:r>
      <w:r>
        <w:t xml:space="preserve"> </w:t>
      </w:r>
      <w:r>
        <w:t xml:space="preserve">“</w:t>
      </w:r>
      <w:r>
        <w:t xml:space="preserve">mole que nem macarrão cozido</w:t>
      </w:r>
      <w:r>
        <w:t xml:space="preserve">”</w:t>
      </w:r>
      <w:r>
        <w:t xml:space="preserve">,</w:t>
      </w:r>
      <w:r>
        <w:t xml:space="preserve"> </w:t>
      </w:r>
      <w:r>
        <w:t xml:space="preserve">“</w:t>
      </w:r>
      <w:r>
        <w:t xml:space="preserve">mijar a placa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É a língua em que ele lembra do que aconteceu, então é a língua em que ele entende a explicação. O termo técnico aparece uma vez (corpo cavernoso, colágeno tipo III) e depois vira a palavra dele (esponja, cimento, pau).</w:t>
      </w:r>
    </w:p>
    <w:p>
      <w:pPr>
        <w:numPr>
          <w:ilvl w:val="0"/>
          <w:numId w:val="1022"/>
        </w:numPr>
      </w:pPr>
      <w:r>
        <w:rPr>
          <w:bCs/>
          <w:b/>
        </w:rPr>
        <w:t xml:space="preserve">Imagem do dano = cimento congelando tudo por dentro (decisão de 13/10/2026):</w:t>
      </w:r>
      <w:r>
        <w:t xml:space="preserve"> </w:t>
      </w:r>
      <w:r>
        <w:t xml:space="preserve">a Alpha Erec usa muito stock de tecido rasgado, fibra rompida, cicatriz. Trazemos o mesmo estoque e a mesma função (mostrar o dano no tecido), só que tudo cimentado: fibras sendo envolvidas por cimento cinza, esponja rosa virando bloco, vasos travando, o corte do pênis com cimento no lugar da placa. Nada</w:t>
      </w:r>
      <w:r>
        <w:t xml:space="preserve"> </w:t>
      </w:r>
      <w:r>
        <w:t xml:space="preserve">“</w:t>
      </w:r>
      <w:r>
        <w:t xml:space="preserve">rasga</w:t>
      </w:r>
      <w:r>
        <w:t xml:space="preserve">”</w:t>
      </w:r>
      <w:r>
        <w:t xml:space="preserve"> </w:t>
      </w:r>
      <w:r>
        <w:t xml:space="preserve">na nossa; tudo</w:t>
      </w:r>
      <w:r>
        <w:t xml:space="preserve"> </w:t>
      </w:r>
      <w:r>
        <w:t xml:space="preserve">“</w:t>
      </w:r>
      <w:r>
        <w:t xml:space="preserve">trava</w:t>
      </w:r>
      <w:r>
        <w:t xml:space="preserve">”</w:t>
      </w:r>
      <w:r>
        <w:t xml:space="preserve">. Lista de conversões no briefing 06, Marketing Thesis.</w:t>
      </w:r>
    </w:p>
    <w:p>
      <w:pPr>
        <w:numPr>
          <w:ilvl w:val="0"/>
          <w:numId w:val="1022"/>
        </w:numPr>
      </w:pPr>
      <w:r>
        <w:rPr>
          <w:bCs/>
          <w:b/>
        </w:rPr>
        <w:t xml:space="preserve">Modelagem da tese (decisão de 13/10/2026):</w:t>
      </w:r>
      <w:r>
        <w:t xml:space="preserve"> </w:t>
      </w:r>
      <w:r>
        <w:t xml:space="preserve">a copy da tese é modelada, não inventada. Cada bloco A–G segue a estrutura invisível e a função do bloco equivalente da Soda Horse (11–17), parágrafo a parágrafo, com as adaptações novas do doc 12 (touro, capataz, rótulo, estômagos, fardo, memórias do Mike) entrando no lugar do parágrafo que cumpre a mesma função, nunca somadas por cima. Orçamento de tamanho: o do bloco-modelo. O que entra novo obriga algo a sair ou encolher. A tese da Soda Horse tem ~20 min (21:21–41:41); a nossa mira o mesmo, não mais.</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Na tese, um veneno só: o glifosato (ração e comida). PFAS fica na discovery como reforço e não entra na tese. Um cimento só: o veneno seca como cimento (Soda Horse), sem o segundo mecanismo de cicatriz/tipo I da Alpha Erec.</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2026-10-15T15:39:48Z</dcterms:created>
  <dcterms:modified xsi:type="dcterms:W3CDTF">2026-10-15T15:39:48Z</dcterms:modified>
</cp:coreProperties>
</file>

<file path=docProps/custom.xml><?xml version="1.0" encoding="utf-8"?>
<Properties xmlns="http://schemas.openxmlformats.org/officeDocument/2006/custom-properties" xmlns:vt="http://schemas.openxmlformats.org/officeDocument/2006/docPropsVTypes"/>
</file>