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r w:rsidDel="00000000" w:rsidR="00000000" w:rsidRPr="00000000">
        <w:rPr>
          <w:rtl w:val="0"/>
        </w:rPr>
      </w:r>
    </w:p>
    <w:p w:rsidR="00000000" w:rsidDel="00000000" w:rsidP="00000000" w:rsidRDefault="00000000" w:rsidRPr="00000000" w14:paraId="00000004">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Does not apply.</w:t>
      </w:r>
      <w:r w:rsidDel="00000000" w:rsidR="00000000" w:rsidRPr="00000000">
        <w:rPr>
          <w:rtl w:val="0"/>
        </w:rPr>
      </w:r>
    </w:p>
    <w:p w:rsidR="00000000" w:rsidDel="00000000" w:rsidP="00000000" w:rsidRDefault="00000000" w:rsidRPr="00000000" w14:paraId="00000005">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r w:rsidDel="00000000" w:rsidR="00000000" w:rsidRPr="00000000">
        <w:rPr>
          <w:rtl w:val="0"/>
        </w:rPr>
      </w:r>
    </w:p>
    <w:p w:rsidR="00000000" w:rsidDel="00000000" w:rsidP="00000000" w:rsidRDefault="00000000" w:rsidRPr="00000000" w14:paraId="0000000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adhere to GDPR because they conduct business and collect personal information from people worldwide, including the E.U.</w:t>
      </w:r>
      <w:r w:rsidDel="00000000" w:rsidR="00000000" w:rsidRPr="00000000">
        <w:rPr>
          <w:rtl w:val="0"/>
        </w:rPr>
      </w:r>
    </w:p>
    <w:p w:rsidR="00000000" w:rsidDel="00000000" w:rsidP="00000000" w:rsidRDefault="00000000" w:rsidRPr="00000000" w14:paraId="00000008">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adhere to PCI DSS because they store, accept, process, and transmit credit card information in person and online.</w:t>
      </w:r>
      <w:r w:rsidDel="00000000" w:rsidR="00000000" w:rsidRPr="00000000">
        <w:rPr>
          <w:rtl w:val="0"/>
        </w:rPr>
      </w:r>
    </w:p>
    <w:p w:rsidR="00000000" w:rsidDel="00000000" w:rsidP="00000000" w:rsidRDefault="00000000" w:rsidRPr="00000000" w14:paraId="0000000B">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Does not apply</w:t>
      </w:r>
      <w:r w:rsidDel="00000000" w:rsidR="00000000" w:rsidRPr="00000000">
        <w:rPr>
          <w:rtl w:val="0"/>
        </w:rPr>
      </w:r>
    </w:p>
    <w:p w:rsidR="00000000" w:rsidDel="00000000" w:rsidP="00000000" w:rsidRDefault="00000000" w:rsidRPr="00000000" w14:paraId="0000000E">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SOC1 and SOC2</w:t>
      </w:r>
      <w:r w:rsidDel="00000000" w:rsidR="00000000" w:rsidRPr="00000000">
        <w:rPr>
          <w:rFonts w:ascii="Google Sans" w:cs="Google Sans" w:eastAsia="Google Sans" w:hAnsi="Google Sans"/>
          <w:sz w:val="24"/>
          <w:szCs w:val="24"/>
          <w:rtl w:val="0"/>
        </w:rPr>
        <w:t xml:space="preserve">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0">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establish and enforce appropriate user access for internal and external (third-party vendor) personnel to mitigate risk and ensure data safety.</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