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Marco Serrano</w:t>
        <w:br w:type="textWrapping"/>
        <w:t xml:space="preserve">DATE: June 20, 2023</w:t>
        <w:br w:type="textWrapping"/>
        <w:t xml:space="preserve">SUBJECT: Internal IT audit findings and recommendations</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0C">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systems are in scope: accounting, end point detection, firewalls, intrusion detection system, SIEM tool. The systems will be evaluated for:</w:t>
      </w:r>
    </w:p>
    <w:p w:rsidR="00000000" w:rsidDel="00000000" w:rsidP="00000000" w:rsidRDefault="00000000" w:rsidRPr="00000000" w14:paraId="0000000D">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user </w:t>
      </w:r>
      <w:r w:rsidDel="00000000" w:rsidR="00000000" w:rsidRPr="00000000">
        <w:rPr>
          <w:rFonts w:ascii="Google Sans" w:cs="Google Sans" w:eastAsia="Google Sans" w:hAnsi="Google Sans"/>
          <w:color w:val="434343"/>
          <w:sz w:val="24"/>
          <w:szCs w:val="24"/>
          <w:rtl w:val="0"/>
        </w:rPr>
        <w:t xml:space="preserve">permissions </w:t>
      </w:r>
      <w:r w:rsidDel="00000000" w:rsidR="00000000" w:rsidRPr="00000000">
        <w:rPr>
          <w:rtl w:val="0"/>
        </w:rPr>
      </w:r>
    </w:p>
    <w:p w:rsidR="00000000" w:rsidDel="00000000" w:rsidP="00000000" w:rsidRDefault="00000000" w:rsidRPr="00000000" w14:paraId="0000000E">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implemented controls</w:t>
      </w:r>
    </w:p>
    <w:p w:rsidR="00000000" w:rsidDel="00000000" w:rsidP="00000000" w:rsidRDefault="00000000" w:rsidRPr="00000000" w14:paraId="0000000F">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procedures and protocols</w:t>
      </w:r>
    </w:p>
    <w:p w:rsidR="00000000" w:rsidDel="00000000" w:rsidP="00000000" w:rsidRDefault="00000000" w:rsidRPr="00000000" w14:paraId="00000010">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 align with PCI DSS and GDPR compliance requirements.</w:t>
      </w:r>
    </w:p>
    <w:p w:rsidR="00000000" w:rsidDel="00000000" w:rsidP="00000000" w:rsidRDefault="00000000" w:rsidRPr="00000000" w14:paraId="00000011">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technology is accounted for both hardware and system access.</w:t>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15">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Adhere to the NIST CSF.</w:t>
      </w:r>
    </w:p>
    <w:p w:rsidR="00000000" w:rsidDel="00000000" w:rsidP="00000000" w:rsidRDefault="00000000" w:rsidRPr="00000000" w14:paraId="00000016">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 </w:t>
      </w:r>
    </w:p>
    <w:p w:rsidR="00000000" w:rsidDel="00000000" w:rsidP="00000000" w:rsidRDefault="00000000" w:rsidRPr="00000000" w14:paraId="00000017">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18">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Adapt to the concept of least permissions when it comes to user credential management. </w:t>
      </w:r>
    </w:p>
    <w:p w:rsidR="00000000" w:rsidDel="00000000" w:rsidP="00000000" w:rsidRDefault="00000000" w:rsidRPr="00000000" w14:paraId="00000019">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their policies and procedures, which includes their playbooks. </w:t>
      </w:r>
    </w:p>
    <w:p w:rsidR="00000000" w:rsidDel="00000000" w:rsidP="00000000" w:rsidRDefault="00000000" w:rsidRPr="00000000" w14:paraId="0000001A">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they are meeting compliance requirements.</w:t>
      </w:r>
    </w:p>
    <w:p w:rsidR="00000000" w:rsidDel="00000000" w:rsidP="00000000" w:rsidRDefault="00000000" w:rsidRPr="00000000" w14:paraId="0000001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trike w:val="1"/>
          <w:color w:val="434343"/>
          <w:sz w:val="24"/>
          <w:szCs w:val="24"/>
          <w:highlight w:val="magenta"/>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1F">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Multiple controls need to be developed and implemented to meet the audit goals, including:</w:t>
      </w:r>
    </w:p>
    <w:p w:rsidR="00000000" w:rsidDel="00000000" w:rsidP="00000000" w:rsidRDefault="00000000" w:rsidRPr="00000000" w14:paraId="00000020">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 of Least Privilege and Separation of Duties</w:t>
      </w:r>
    </w:p>
    <w:p w:rsidR="00000000" w:rsidDel="00000000" w:rsidP="00000000" w:rsidRDefault="00000000" w:rsidRPr="00000000" w14:paraId="00000021">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2">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access control, and account management policies, including the implementation of a password management system</w:t>
      </w:r>
    </w:p>
    <w:p w:rsidR="00000000" w:rsidDel="00000000" w:rsidP="00000000" w:rsidRDefault="00000000" w:rsidRPr="00000000" w14:paraId="00000023">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Encryption (for secure website transactions)</w:t>
      </w:r>
    </w:p>
    <w:p w:rsidR="00000000" w:rsidDel="00000000" w:rsidP="00000000" w:rsidRDefault="00000000" w:rsidRPr="00000000" w14:paraId="00000024">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IDS</w:t>
      </w:r>
    </w:p>
    <w:p w:rsidR="00000000" w:rsidDel="00000000" w:rsidP="00000000" w:rsidRDefault="00000000" w:rsidRPr="00000000" w14:paraId="00000025">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26">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AV software</w:t>
      </w:r>
    </w:p>
    <w:p w:rsidR="00000000" w:rsidDel="00000000" w:rsidP="00000000" w:rsidRDefault="00000000" w:rsidRPr="00000000" w14:paraId="00000027">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28">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29">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 for legacy systems</w:t>
      </w:r>
    </w:p>
    <w:p w:rsidR="00000000" w:rsidDel="00000000" w:rsidP="00000000" w:rsidRDefault="00000000" w:rsidRPr="00000000" w14:paraId="0000002A">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Fire detection and prevention systems</w:t>
      </w:r>
    </w:p>
    <w:p w:rsidR="00000000" w:rsidDel="00000000" w:rsidP="00000000" w:rsidRDefault="00000000" w:rsidRPr="00000000" w14:paraId="0000002B">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meet PCI DSS and GDPR compliance requirements.</w:t>
      </w:r>
    </w:p>
    <w:p w:rsidR="00000000" w:rsidDel="00000000" w:rsidP="00000000" w:rsidRDefault="00000000" w:rsidRPr="00000000" w14:paraId="0000002C">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align to SOC1 and SOC2 guidance related to user access policies and overall data safety. </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2F">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should be implemented when possible:</w:t>
      </w:r>
    </w:p>
    <w:p w:rsidR="00000000" w:rsidDel="00000000" w:rsidP="00000000" w:rsidRDefault="00000000" w:rsidRPr="00000000" w14:paraId="00000030">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31">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32">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Locking cabinets</w:t>
      </w:r>
    </w:p>
    <w:p w:rsidR="00000000" w:rsidDel="00000000" w:rsidP="00000000" w:rsidRDefault="00000000" w:rsidRPr="00000000" w14:paraId="00000033">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Signage indicating alarm service provider</w: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It is recommended that critical findings relating to compliance with PCI DSS and GDPR be promptly addressed since Botium Toys accepts online payments from customers worldwide, including the E.U. Additionally, since one of the goals of the audit is to adapt to the concept of least permissions, SOC1 and SOC2 guidance related to user access policies and overall data safety should be used to develop appropriate policies and procedures. Having disaster recovery plans and backups is also critical because they support business continuity in the event of an incident. Integrating an IDS and AV software into the current systems will support our ability to identify and mitigate potential risks, and could help with intrusion detection, since existing legacy systems require manual monitoring and intervention. To further secure assets housed at Botium Toys’ single physical location, locks and CCTV should be used to secure physical assets (including equipment) and to monitor and investigate potential threats. While not necessary immediately, using encryption and having a time-controlled safe, adequate lighting, locking cabinets, fire detection and prevention systems, and signage indicating alarm service </w:t>
      </w:r>
      <w:r w:rsidDel="00000000" w:rsidR="00000000" w:rsidRPr="00000000">
        <w:rPr>
          <w:rFonts w:ascii="Google Sans" w:cs="Google Sans" w:eastAsia="Google Sans" w:hAnsi="Google Sans"/>
          <w:color w:val="434343"/>
          <w:sz w:val="24"/>
          <w:szCs w:val="24"/>
          <w:rtl w:val="0"/>
        </w:rPr>
        <w:t xml:space="preserve">provider</w:t>
      </w:r>
      <w:r w:rsidDel="00000000" w:rsidR="00000000" w:rsidRPr="00000000">
        <w:rPr>
          <w:rFonts w:ascii="Google Sans" w:cs="Google Sans" w:eastAsia="Google Sans" w:hAnsi="Google Sans"/>
          <w:color w:val="434343"/>
          <w:sz w:val="24"/>
          <w:szCs w:val="24"/>
          <w:rtl w:val="0"/>
        </w:rPr>
        <w:t xml:space="preserve"> will further improve Botium Toys’ security posture.</w: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