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120" w:before="240"/>
        <w:ind w:firstLine="0" w:left="0" w:right="0"/>
        <w:jc w:val="center"/>
      </w:pPr>
      <w:r>
        <w:rPr>
          <w:rFonts w:ascii="Merriweather Sans Light" w:hAnsi="Merriweather Sans Light"/>
          <w:b/>
          <w:sz w:val="24"/>
        </w:rPr>
        <w:t>ACORDO DE PREVIDÊNCIA SOCIAL ENTRE A REPÚBLICA FEDERATIVA DO BRASIL E A REPÚBLICA FEDERAL DA ALEMANHA</w:t>
      </w:r>
    </w:p>
    <w:p>
      <w:pPr>
        <w:spacing w:line="240" w:lineRule="auto" w:after="120"/>
        <w:ind w:firstLine="0" w:left="0" w:right="0"/>
        <w:jc w:val="both"/>
      </w:pPr>
      <w:r>
        <w:rPr>
          <w:rFonts w:ascii="Merriweather Sans Light" w:hAnsi="Merriweather Sans Light"/>
          <w:sz w:val="24"/>
        </w:rPr>
        <w:t>A República Federativa do Brasil e a República Federal da Alemanha (doravante denominados "Partes"), Imbuídos do desejo de regulamentar suas relações em matéria de Previdência Social, Acordam o seguinte:</w:t>
      </w:r>
    </w:p>
    <w:p>
      <w:pPr>
        <w:spacing w:line="240" w:lineRule="auto" w:after="120" w:before="240"/>
        <w:ind w:firstLine="0" w:left="0" w:right="0"/>
        <w:jc w:val="center"/>
      </w:pPr>
      <w:r>
        <w:rPr>
          <w:rFonts w:ascii="Merriweather Sans Light" w:hAnsi="Merriweather Sans Light"/>
          <w:b/>
          <w:sz w:val="24"/>
        </w:rPr>
        <w:t>TÍTULO I - DISPOSIÇÕES GERAIS</w:t>
      </w:r>
    </w:p>
    <w:p>
      <w:pPr>
        <w:spacing w:line="240" w:lineRule="auto" w:after="120" w:before="240"/>
        <w:ind w:firstLine="0" w:left="0" w:right="0"/>
        <w:jc w:val="center"/>
      </w:pPr>
      <w:r>
        <w:rPr>
          <w:rFonts w:ascii="Merriweather Sans Light" w:hAnsi="Merriweather Sans Light"/>
          <w:b/>
          <w:sz w:val="24"/>
        </w:rPr>
        <w:t>ARTIGO 1 - Definições</w:t>
      </w:r>
    </w:p>
    <w:p>
      <w:pPr>
        <w:spacing w:line="240" w:lineRule="auto" w:after="120"/>
        <w:ind w:firstLine="0" w:left="0" w:right="0"/>
        <w:jc w:val="both"/>
      </w:pPr>
      <w:r>
        <w:rPr>
          <w:rFonts w:ascii="Merriweather Sans Light" w:hAnsi="Merriweather Sans Light"/>
          <w:sz w:val="24"/>
        </w:rPr>
        <w:t>1. Neste Acordo, os termos relacionados a seguir possuem o seguinte significado: a) "cidadão nacional" é, em relação à República Federal da Alemanha, um alemão segundo a Lei Fundamental da República Federal da Alemanha e, em relação à República Federativa do Brasil, um brasileiro segundo a Constituição Federal e as Leis da República Federativa do Brasil; b) "legislação" são as leis, os regulamentos e os demais atos normativos vinculantes, que se referem aos setores e sistemas da previdência social pertinentes ao âmbito material deste Acordo; c) "Autoridade Competente" é, na República Federal da Alemanha, o Ministério Federal de Trabalho e Assuntos Sociais e, na República Federativa do Brasil, o Ministério da Previdência Social; d) "Instituição" é a autoridade ou o organismo responsável pela aplicação da legislação pertinente ao âmbito material deste Acordo.</w:t>
      </w:r>
    </w:p>
    <w:p>
      <w:pPr>
        <w:spacing w:line="240" w:lineRule="auto" w:after="120" w:before="240"/>
        <w:ind w:firstLine="0" w:left="0" w:right="0"/>
        <w:jc w:val="center"/>
      </w:pPr>
      <w:r>
        <w:rPr>
          <w:rFonts w:ascii="Merriweather Sans Light" w:hAnsi="Merriweather Sans Light"/>
          <w:b/>
          <w:sz w:val="24"/>
        </w:rPr>
        <w:t>ARTIGO 2 - Âmbito material</w:t>
      </w:r>
    </w:p>
    <w:p>
      <w:pPr>
        <w:spacing w:line="240" w:lineRule="auto" w:after="120"/>
        <w:ind w:firstLine="0" w:left="0" w:right="0"/>
        <w:jc w:val="both"/>
      </w:pPr>
      <w:r>
        <w:rPr>
          <w:rFonts w:ascii="Merriweather Sans Light" w:hAnsi="Merriweather Sans Light"/>
          <w:sz w:val="24"/>
        </w:rPr>
        <w:t>1. Este Acordo refere-se: a) à legislação alemã sobre seguro previdenciário, seguro complementar da caixa de seguro dos operários siderúrgicos, seguro de aposentadoria dos agricultores, seguro de acidentes, relativo a aposentadorias; b) à legislação brasileira sobre o seguro social referente às aposentadorias, pensão por morte e auxílio-acidente do Regime Geral de Previdência Social, às aposentadorias e pensão por morte dos Regimes Próprios de Previdência Social dos servidores públicos.</w:t>
      </w:r>
    </w:p>
    <w:p>
      <w:pPr>
        <w:spacing w:line="240" w:lineRule="auto" w:after="120" w:before="240"/>
        <w:ind w:firstLine="0" w:left="0" w:right="0"/>
        <w:jc w:val="center"/>
      </w:pPr>
      <w:r>
        <w:rPr>
          <w:rFonts w:ascii="Merriweather Sans Light" w:hAnsi="Merriweather Sans Light"/>
          <w:b/>
          <w:sz w:val="24"/>
        </w:rPr>
        <w:t>ARTIGO 3 - Âmbito pessoal</w:t>
      </w:r>
    </w:p>
    <w:p>
      <w:pPr>
        <w:spacing w:line="240" w:lineRule="auto" w:after="120"/>
        <w:ind w:firstLine="0" w:left="0" w:right="0"/>
        <w:jc w:val="both"/>
      </w:pPr>
      <w:r>
        <w:rPr>
          <w:rFonts w:ascii="Merriweather Sans Light" w:hAnsi="Merriweather Sans Light"/>
          <w:sz w:val="24"/>
        </w:rPr>
        <w:t>Este Acordo se refere: a) diretamente a cidadãos nacionais das Partes, refugiados e apátridas; b) indiretamente, a outras pessoas, no que diz respeito aos direitos derivados de uma pessoa diretamente abrangida.</w:t>
      </w:r>
    </w:p>
    <w:p>
      <w:pPr>
        <w:spacing w:line="240" w:lineRule="auto" w:after="120" w:before="240"/>
        <w:ind w:firstLine="0" w:left="0" w:right="0"/>
        <w:jc w:val="center"/>
      </w:pPr>
      <w:r>
        <w:rPr>
          <w:rFonts w:ascii="Merriweather Sans Light" w:hAnsi="Merriweather Sans Light"/>
          <w:b/>
          <w:sz w:val="24"/>
        </w:rPr>
        <w:t>ARTIGO 4 - Igualdade de tratamento</w:t>
      </w:r>
    </w:p>
    <w:p>
      <w:pPr>
        <w:spacing w:line="240" w:lineRule="auto" w:after="120"/>
        <w:ind w:firstLine="0" w:left="0" w:right="0"/>
        <w:jc w:val="both"/>
      </w:pPr>
      <w:r>
        <w:rPr>
          <w:rFonts w:ascii="Merriweather Sans Light" w:hAnsi="Merriweather Sans Light"/>
          <w:sz w:val="24"/>
        </w:rPr>
        <w:t>1. As pessoas compreendidas, direta ou indiretamente, no âmbito de aplicação deste Acordo, que residam habitualmente no território de uma das Partes, encontram-se igualizadas aos cidadãos dessa Parte, no que se refere à aplicação da sua legislação.</w:t>
      </w:r>
    </w:p>
    <w:p>
      <w:pPr>
        <w:spacing w:line="240" w:lineRule="auto" w:after="120"/>
        <w:ind w:firstLine="0" w:left="0" w:right="0"/>
        <w:jc w:val="both"/>
      </w:pPr>
      <w:r>
        <w:rPr>
          <w:rFonts w:ascii="Merriweather Sans Light" w:hAnsi="Merriweather Sans Light"/>
          <w:sz w:val="24"/>
        </w:rPr>
        <w:t>2. As prestações segundo a legislação de uma Parte serão atribuídas aos cidadãos da outra Parte que residam habitualmente fora dos territórios das Partes, sob as mesmas condições prévias que aos cidadãos da primeira Parte que aí habitualmente residam.</w:t>
      </w:r>
    </w:p>
    <w:p>
      <w:pPr>
        <w:spacing w:line="240" w:lineRule="auto" w:after="120" w:before="240"/>
        <w:ind w:firstLine="0" w:left="0" w:right="0"/>
        <w:jc w:val="center"/>
      </w:pPr>
      <w:r>
        <w:rPr>
          <w:rFonts w:ascii="Merriweather Sans Light" w:hAnsi="Merriweather Sans Light"/>
          <w:b/>
          <w:sz w:val="24"/>
        </w:rPr>
        <w:t>ARTIGO 5 - Equiparação da residência habitual</w:t>
      </w:r>
    </w:p>
    <w:p>
      <w:pPr>
        <w:spacing w:line="240" w:lineRule="auto" w:after="120"/>
        <w:ind w:firstLine="0" w:left="0" w:right="0"/>
        <w:jc w:val="both"/>
      </w:pPr>
      <w:r>
        <w:rPr>
          <w:rFonts w:ascii="Merriweather Sans Light" w:hAnsi="Merriweather Sans Light"/>
          <w:sz w:val="24"/>
        </w:rPr>
        <w:t>As disposições legais restritivas de uma Parte, nos termos das quais a geração de direitos a prestações e a sua realização ou o pagamento de prestações pecuniárias dependam de haver residência habitual no território dessa Parte, não são válidas para pessoas abrangidas, direta ou indiretamente, pelo âmbito do presente Acordo, que residam no território da outra Parte.</w:t>
      </w:r>
    </w:p>
    <w:p>
      <w:pPr>
        <w:spacing w:line="240" w:lineRule="auto" w:after="120" w:before="240"/>
        <w:ind w:firstLine="0" w:left="0" w:right="0"/>
        <w:jc w:val="center"/>
      </w:pPr>
      <w:r>
        <w:rPr>
          <w:rFonts w:ascii="Merriweather Sans Light" w:hAnsi="Merriweather Sans Light"/>
          <w:b/>
          <w:sz w:val="24"/>
        </w:rPr>
        <w:t>ARTIGO 6 - Legislação aplicável a pessoas que exercem atividades econômicas</w:t>
      </w:r>
    </w:p>
    <w:p>
      <w:pPr>
        <w:spacing w:line="240" w:lineRule="auto" w:after="120"/>
        <w:ind w:firstLine="0" w:left="0" w:right="0"/>
        <w:jc w:val="both"/>
      </w:pPr>
      <w:r>
        <w:rPr>
          <w:rFonts w:ascii="Merriweather Sans Light" w:hAnsi="Merriweather Sans Light"/>
          <w:sz w:val="24"/>
        </w:rPr>
        <w:t>1. Salvo disposição em contrário no presente Acordo, para uma pessoa que exerce atividade dependente, aplica-se exclusivamente a legislação da Parte em cujo território essa pessoa efetivamente desempenha sua atividade.</w:t>
      </w:r>
    </w:p>
    <w:p>
      <w:pPr>
        <w:spacing w:line="240" w:lineRule="auto" w:after="120"/>
        <w:ind w:firstLine="0" w:left="0" w:right="0"/>
        <w:jc w:val="both"/>
      </w:pPr>
      <w:r>
        <w:rPr>
          <w:rFonts w:ascii="Merriweather Sans Light" w:hAnsi="Merriweather Sans Light"/>
          <w:sz w:val="24"/>
        </w:rPr>
        <w:t>2. A membros da tripulação de empresas aéreas, que realizem transporte internacional de pessoas ou mercadorias por conta própria ou por conta alheia, aplica-se a legislação da Parte em cujo território está sediada a empresa.</w:t>
      </w:r>
    </w:p>
    <w:p>
      <w:pPr>
        <w:spacing w:line="240" w:lineRule="auto" w:after="120"/>
        <w:ind w:firstLine="0" w:left="0" w:right="0"/>
        <w:jc w:val="both"/>
      </w:pPr>
      <w:r>
        <w:rPr>
          <w:rFonts w:ascii="Merriweather Sans Light" w:hAnsi="Merriweather Sans Light"/>
          <w:sz w:val="24"/>
        </w:rPr>
        <w:t>3. Para uma pessoa que exerce atividade dependente a bordo de embarcação de longo curso que viaje sob a bandeira de uma das Partes, aplica-se a legislação desta Parte.</w:t>
      </w:r>
    </w:p>
    <w:p>
      <w:pPr>
        <w:spacing w:line="240" w:lineRule="auto" w:after="120" w:before="240"/>
        <w:ind w:firstLine="0" w:left="0" w:right="0"/>
        <w:jc w:val="center"/>
      </w:pPr>
      <w:r>
        <w:rPr>
          <w:rFonts w:ascii="Merriweather Sans Light" w:hAnsi="Merriweather Sans Light"/>
          <w:b/>
          <w:sz w:val="24"/>
        </w:rPr>
        <w:t>ARTIGO 7 - Legislação aplicável em caso de deslocamento</w:t>
      </w:r>
    </w:p>
    <w:p>
      <w:pPr>
        <w:spacing w:line="240" w:lineRule="auto" w:after="120"/>
        <w:ind w:firstLine="0" w:left="0" w:right="0"/>
        <w:jc w:val="both"/>
      </w:pPr>
      <w:r>
        <w:rPr>
          <w:rFonts w:ascii="Merriweather Sans Light" w:hAnsi="Merriweather Sans Light"/>
          <w:sz w:val="24"/>
        </w:rPr>
        <w:t>1. Se uma pessoa que habitualmente exerce atividade dependente em uma das Partes for deslocada, no âmbito dessa relação de trabalho, pelo seu empregador, o qual exerce regularmente uma atividade econômica significativa no Estado de origem, para o território da outra Parte, a fim de realizar trabalho para esse mesmo empregador por um período previamente determinado, a legislação da primeira Parte continuará a ser aplicada durante os primeiros 24 meses, como se ainda estivesse trabalhando no território dessa Parte.</w:t>
      </w:r>
    </w:p>
    <w:p>
      <w:pPr>
        <w:spacing w:line="240" w:lineRule="auto" w:after="120" w:before="240"/>
        <w:ind w:firstLine="0" w:left="0" w:right="0"/>
        <w:jc w:val="center"/>
      </w:pPr>
      <w:r>
        <w:rPr>
          <w:rFonts w:ascii="Merriweather Sans Light" w:hAnsi="Merriweather Sans Light"/>
          <w:b/>
          <w:sz w:val="24"/>
        </w:rPr>
        <w:t>ARTIGO 8 - Legislação aplicável aos funcionários de Missões diplomáticas ou Repartições consulares</w:t>
      </w:r>
    </w:p>
    <w:p>
      <w:pPr>
        <w:spacing w:line="240" w:lineRule="auto" w:after="120"/>
        <w:ind w:firstLine="0" w:left="0" w:right="0"/>
        <w:jc w:val="both"/>
      </w:pPr>
      <w:r>
        <w:rPr>
          <w:rFonts w:ascii="Merriweather Sans Light" w:hAnsi="Merriweather Sans Light"/>
          <w:sz w:val="24"/>
        </w:rPr>
        <w:t>1. Este Acordo não afeta a aplicação da Convenção de Viena sobre Relações Diplomáticas, de 18 de abril de 1961, ou da Convenção de Viena sobre Relações Consulares, de 24 de abril de 1963.</w:t>
      </w:r>
    </w:p>
    <w:p>
      <w:pPr>
        <w:spacing w:line="240" w:lineRule="auto" w:after="120"/>
        <w:ind w:firstLine="0" w:left="0" w:right="0"/>
        <w:jc w:val="both"/>
      </w:pPr>
      <w:r>
        <w:rPr>
          <w:rFonts w:ascii="Merriweather Sans Light" w:hAnsi="Merriweather Sans Light"/>
          <w:sz w:val="24"/>
        </w:rPr>
        <w:t>2. Se um cidadão de uma das Partes é contratado por essa Parte ou por membro ou funcionário de uma de suas Missões diplomáticas ou Repartições consulares para exercer funções no território da outra Parte, a legislação da primeira Parte é válida, para o período de exercício de suas funções.</w:t>
      </w:r>
    </w:p>
    <w:p>
      <w:pPr>
        <w:spacing w:line="240" w:lineRule="auto" w:after="120" w:before="240"/>
        <w:ind w:firstLine="0" w:left="0" w:right="0"/>
        <w:jc w:val="center"/>
      </w:pPr>
      <w:r>
        <w:rPr>
          <w:rFonts w:ascii="Merriweather Sans Light" w:hAnsi="Merriweather Sans Light"/>
          <w:b/>
          <w:sz w:val="24"/>
        </w:rPr>
        <w:t>ARTIGO 9 - Exceções às disposições sobre a legislação aplicável</w:t>
      </w:r>
    </w:p>
    <w:p>
      <w:pPr>
        <w:spacing w:line="240" w:lineRule="auto" w:after="120"/>
        <w:ind w:firstLine="0" w:left="0" w:right="0"/>
        <w:jc w:val="both"/>
      </w:pPr>
      <w:r>
        <w:rPr>
          <w:rFonts w:ascii="Merriweather Sans Light" w:hAnsi="Merriweather Sans Light"/>
          <w:sz w:val="24"/>
        </w:rPr>
        <w:t>1. Autoridades competentes das Partes ou instâncias por elas designadas podem, de comum acordo, estabelecer exceções às disposições do presente Acordo com relação à legislação aplicável, desde que a pessoa interessada continue ou venha a estar sujeita a legislação de uma das Partes.</w:t>
      </w:r>
    </w:p>
    <w:p>
      <w:pPr>
        <w:spacing w:line="240" w:lineRule="auto" w:after="120"/>
        <w:ind w:firstLine="0" w:left="0" w:right="0"/>
        <w:jc w:val="both"/>
      </w:pPr>
      <w:r>
        <w:rPr>
          <w:rFonts w:ascii="Merriweather Sans Light" w:hAnsi="Merriweather Sans Light"/>
          <w:sz w:val="24"/>
        </w:rPr>
        <w:t>2. As exceções indicadas no parágrafo 1 deste Artigo devem ser solicitadas por meio de requerimento conjunto do trabalhador dependente e de seu empregador ou, caso não se trate de trabalhador dependente, a pedido da própria pessoa.</w:t>
      </w:r>
    </w:p>
    <w:p>
      <w:pPr>
        <w:spacing w:line="240" w:lineRule="auto" w:after="120" w:before="240"/>
        <w:ind w:firstLine="0" w:left="0" w:right="0"/>
        <w:jc w:val="center"/>
      </w:pPr>
      <w:r>
        <w:rPr>
          <w:rFonts w:ascii="Merriweather Sans Light" w:hAnsi="Merriweather Sans Light"/>
          <w:b/>
          <w:sz w:val="24"/>
        </w:rPr>
        <w:t>TÍTULO II - DISPOSIÇÕES ESPECIAIS</w:t>
      </w:r>
    </w:p>
    <w:p>
      <w:pPr>
        <w:spacing w:line="240" w:lineRule="auto" w:after="120" w:before="240"/>
        <w:ind w:firstLine="0" w:left="0" w:right="0"/>
        <w:jc w:val="center"/>
      </w:pPr>
      <w:r>
        <w:rPr>
          <w:rFonts w:ascii="Merriweather Sans Light" w:hAnsi="Merriweather Sans Light"/>
          <w:b/>
          <w:sz w:val="24"/>
        </w:rPr>
        <w:t>ARTIGO 10 - Consideração de acidentes de trabalho ou doenças ocupacionais</w:t>
      </w:r>
    </w:p>
    <w:p>
      <w:pPr>
        <w:spacing w:line="240" w:lineRule="auto" w:after="120"/>
        <w:ind w:firstLine="0" w:left="0" w:right="0"/>
        <w:jc w:val="both"/>
      </w:pPr>
      <w:r>
        <w:rPr>
          <w:rFonts w:ascii="Merriweather Sans Light" w:hAnsi="Merriweather Sans Light"/>
          <w:sz w:val="24"/>
        </w:rPr>
        <w:t>1. Se a legislação de uma Parte prever, para a avaliação do grau de incapacidade ou para a fixação do direito à prestação em consequência de um acidente de trabalho ou de doença ocupacional no sentido desta legislação, que se tenha de levar em consideração outros acidentes de trabalho ou doenças ocupacionais, essa previsão será igualmente aplicável a acidentes de trabalho e doenças ocupacionais sujeitos à legislação da outra Parte.</w:t>
      </w:r>
    </w:p>
    <w:p>
      <w:pPr>
        <w:spacing w:line="240" w:lineRule="auto" w:after="120" w:before="240"/>
        <w:ind w:firstLine="0" w:left="0" w:right="0"/>
        <w:jc w:val="center"/>
      </w:pPr>
      <w:r>
        <w:rPr>
          <w:rFonts w:ascii="Merriweather Sans Light" w:hAnsi="Merriweather Sans Light"/>
          <w:b/>
          <w:sz w:val="24"/>
        </w:rPr>
        <w:t>ARTIGO 11 - Totalização de períodos de seguro e cálculo da aposentadoria</w:t>
      </w:r>
    </w:p>
    <w:p>
      <w:pPr>
        <w:spacing w:line="240" w:lineRule="auto" w:after="120"/>
        <w:ind w:firstLine="0" w:left="0" w:right="0"/>
        <w:jc w:val="both"/>
      </w:pPr>
      <w:r>
        <w:rPr>
          <w:rFonts w:ascii="Merriweather Sans Light" w:hAnsi="Merriweather Sans Light"/>
          <w:sz w:val="24"/>
        </w:rPr>
        <w:t>1. Para o direito à prestação, segundo a legislação a ser aplicada, também são considerados os períodos de seguro cumputáveis segundo a legislação da outra Parte se não recaiam sobre o mesmo período de tempo.</w:t>
      </w:r>
    </w:p>
    <w:p>
      <w:pPr>
        <w:spacing w:line="240" w:lineRule="auto" w:after="120"/>
        <w:ind w:firstLine="0" w:left="0" w:right="0"/>
        <w:jc w:val="both"/>
      </w:pPr>
      <w:r>
        <w:rPr>
          <w:rFonts w:ascii="Merriweather Sans Light" w:hAnsi="Merriweather Sans Light"/>
          <w:sz w:val="24"/>
        </w:rPr>
        <w:t>2. No caso de o direito à prestação exigir períodos de seguro com determinadas características, só serão considerados períodos de seguro equiparáveis nos termos da legislação da outra Parte.</w:t>
      </w:r>
    </w:p>
    <w:p>
      <w:pPr>
        <w:spacing w:line="240" w:lineRule="auto" w:after="120"/>
        <w:ind w:firstLine="0" w:left="0" w:right="0"/>
        <w:jc w:val="both"/>
      </w:pPr>
      <w:r>
        <w:rPr>
          <w:rFonts w:ascii="Merriweather Sans Light" w:hAnsi="Merriweather Sans Light"/>
          <w:sz w:val="24"/>
        </w:rPr>
        <w:t>3. O cálculo das aposentadorias e pensões por morte é regulado pela legislação da respectiva Parte, salvo disposição contrária contida neste Acordo.</w:t>
      </w:r>
    </w:p>
    <w:p>
      <w:pPr>
        <w:spacing w:line="240" w:lineRule="auto" w:after="120" w:before="240"/>
        <w:ind w:firstLine="0" w:left="0" w:right="0"/>
        <w:jc w:val="center"/>
      </w:pPr>
      <w:r>
        <w:rPr>
          <w:rFonts w:ascii="Merriweather Sans Light" w:hAnsi="Merriweather Sans Light"/>
          <w:b/>
          <w:sz w:val="24"/>
        </w:rPr>
        <w:t>ARTIGO 12 - Particularidades para a Instituição alemã</w:t>
      </w:r>
    </w:p>
    <w:p>
      <w:pPr>
        <w:spacing w:line="240" w:lineRule="auto" w:after="120"/>
        <w:ind w:firstLine="0" w:left="0" w:right="0"/>
        <w:jc w:val="both"/>
      </w:pPr>
      <w:r>
        <w:rPr>
          <w:rFonts w:ascii="Merriweather Sans Light" w:hAnsi="Merriweather Sans Light"/>
          <w:sz w:val="24"/>
        </w:rPr>
        <w:t>1. A base para a apuração da pontuação pessoal são os pontos adquiridos de acordo com a legislação alemã.</w:t>
      </w:r>
    </w:p>
    <w:p>
      <w:pPr>
        <w:spacing w:line="240" w:lineRule="auto" w:after="120"/>
        <w:ind w:firstLine="0" w:left="0" w:right="0"/>
        <w:jc w:val="both"/>
      </w:pPr>
      <w:r>
        <w:rPr>
          <w:rFonts w:ascii="Merriweather Sans Light" w:hAnsi="Merriweather Sans Light"/>
          <w:sz w:val="24"/>
        </w:rPr>
        <w:t>2. A disposição sobre a totalização dos períodos de seguro aplica-se, correspondentemente, às prestações, cuja concessão por uma instituição competente é facultativa.</w:t>
      </w:r>
    </w:p>
    <w:p>
      <w:pPr>
        <w:spacing w:line="240" w:lineRule="auto" w:after="120"/>
        <w:ind w:firstLine="0" w:left="0" w:right="0"/>
        <w:jc w:val="both"/>
      </w:pPr>
      <w:r>
        <w:rPr>
          <w:rFonts w:ascii="Merriweather Sans Light" w:hAnsi="Merriweather Sans Light"/>
          <w:sz w:val="24"/>
        </w:rPr>
        <w:t>3. Os períodos de seguro cumpridos de acordo com a legislação brasileira são levados em consideração na caixa de seguro dos mineiros caso o segurado tenha cumprido esse tempo na parte subterrânea de uma mina.</w:t>
      </w:r>
    </w:p>
    <w:p>
      <w:pPr>
        <w:spacing w:line="240" w:lineRule="auto" w:after="120" w:before="240"/>
        <w:ind w:firstLine="0" w:left="0" w:right="0"/>
        <w:jc w:val="center"/>
      </w:pPr>
      <w:r>
        <w:rPr>
          <w:rFonts w:ascii="Merriweather Sans Light" w:hAnsi="Merriweather Sans Light"/>
          <w:b/>
          <w:sz w:val="24"/>
        </w:rPr>
        <w:t>ARTIGO 13 - Particularidades para a Instituição brasileira</w:t>
      </w:r>
    </w:p>
    <w:p>
      <w:pPr>
        <w:spacing w:line="240" w:lineRule="auto" w:after="120"/>
        <w:ind w:firstLine="0" w:left="0" w:right="0"/>
        <w:jc w:val="both"/>
      </w:pPr>
      <w:r>
        <w:rPr>
          <w:rFonts w:ascii="Merriweather Sans Light" w:hAnsi="Merriweather Sans Light"/>
          <w:sz w:val="24"/>
        </w:rPr>
        <w:t>1. Se, para a legislação brasileira, for condição para o direito à pensão por morte, o fato de o falecimento do segurado ter acontecido durante um período de seguro, a condição para a fundamentação do direito à prestação é considerada cumprida se o falecimento houver ocorrido dentro de um período de seguro de acordo com a legislação alemã.</w:t>
      </w:r>
    </w:p>
    <w:p>
      <w:pPr>
        <w:spacing w:line="240" w:lineRule="auto" w:after="120"/>
        <w:ind w:firstLine="0" w:left="0" w:right="0"/>
        <w:jc w:val="both"/>
      </w:pPr>
      <w:r>
        <w:rPr>
          <w:rFonts w:ascii="Merriweather Sans Light" w:hAnsi="Merriweather Sans Light"/>
          <w:sz w:val="24"/>
        </w:rPr>
        <w:t>2. Os períodos de seguro cumpridos de acordo com a legislação alemã no sistema especial para agricultores serão levados em consideração para o reconhecimento do direito a uma aposentadoria por idade, aposentadoria por invalidez ou pensão por morte no regime geral brasileiro como sendo equivalentes a períodos de seguro especial na agricultura.</w:t>
      </w:r>
    </w:p>
    <w:p>
      <w:pPr>
        <w:spacing w:line="240" w:lineRule="auto" w:after="120" w:before="240"/>
        <w:ind w:firstLine="0" w:left="0" w:right="0"/>
        <w:jc w:val="center"/>
      </w:pPr>
      <w:r>
        <w:rPr>
          <w:rFonts w:ascii="Merriweather Sans Light" w:hAnsi="Merriweather Sans Light"/>
          <w:b/>
          <w:sz w:val="24"/>
        </w:rPr>
        <w:t>TÍTULO III - DISPOSIÇÕES DIVERSAS</w:t>
      </w:r>
    </w:p>
    <w:p>
      <w:pPr>
        <w:spacing w:line="240" w:lineRule="auto" w:after="120" w:before="240"/>
        <w:ind w:firstLine="0" w:left="0" w:right="0"/>
        <w:jc w:val="center"/>
      </w:pPr>
      <w:r>
        <w:rPr>
          <w:rFonts w:ascii="Merriweather Sans Light" w:hAnsi="Merriweather Sans Light"/>
          <w:b/>
          <w:sz w:val="24"/>
        </w:rPr>
        <w:t>ARTIGO 14 - Cooperação administrativa e perícia médica</w:t>
      </w:r>
    </w:p>
    <w:p>
      <w:pPr>
        <w:spacing w:line="240" w:lineRule="auto" w:after="120"/>
        <w:ind w:firstLine="0" w:left="0" w:right="0"/>
        <w:jc w:val="both"/>
      </w:pPr>
      <w:r>
        <w:rPr>
          <w:rFonts w:ascii="Merriweather Sans Light" w:hAnsi="Merriweather Sans Light"/>
          <w:sz w:val="24"/>
        </w:rPr>
        <w:t>1. As Instituições, associações de instituições e autoridades das Partes cooperarão entre si na aplicação deste Acordo, bem como na aplicação da legislação pertinente ao seu âmbito material.</w:t>
      </w:r>
    </w:p>
    <w:p>
      <w:pPr>
        <w:spacing w:line="240" w:lineRule="auto" w:after="120"/>
        <w:ind w:firstLine="0" w:left="0" w:right="0"/>
        <w:jc w:val="both"/>
      </w:pPr>
      <w:r>
        <w:rPr>
          <w:rFonts w:ascii="Merriweather Sans Light" w:hAnsi="Merriweather Sans Light"/>
          <w:sz w:val="24"/>
        </w:rPr>
        <w:t>2. A cooperação administrativa engloba, igualmente, perícias médicas no âmbito do seguro previdenciário.</w:t>
      </w:r>
    </w:p>
    <w:p>
      <w:pPr>
        <w:spacing w:line="240" w:lineRule="auto" w:after="120" w:before="240"/>
        <w:ind w:firstLine="0" w:left="0" w:right="0"/>
        <w:jc w:val="center"/>
      </w:pPr>
      <w:r>
        <w:rPr>
          <w:rFonts w:ascii="Merriweather Sans Light" w:hAnsi="Merriweather Sans Light"/>
          <w:b/>
          <w:sz w:val="24"/>
        </w:rPr>
        <w:t>ARTIGO 15 - Taxas e legalização</w:t>
      </w:r>
    </w:p>
    <w:p>
      <w:pPr>
        <w:spacing w:line="240" w:lineRule="auto" w:after="120"/>
        <w:ind w:firstLine="0" w:left="0" w:right="0"/>
        <w:jc w:val="both"/>
      </w:pPr>
      <w:r>
        <w:rPr>
          <w:rFonts w:ascii="Merriweather Sans Light" w:hAnsi="Merriweather Sans Light"/>
          <w:sz w:val="24"/>
        </w:rPr>
        <w:t>1. A isenção ou redução de impostos ou de taxas administrativas, previstas na legislação de uma das Partes, o reembolso com despesas de documentos de apresentação obrigatória, segundo esta legislação, englobam também os respectivos documentos que devem ser apresentados na aplicação do presente Acordo ou dentro da legislação da outra Parte.</w:t>
      </w:r>
    </w:p>
    <w:p>
      <w:pPr>
        <w:spacing w:line="240" w:lineRule="auto" w:after="120" w:before="240"/>
        <w:ind w:firstLine="0" w:left="0" w:right="0"/>
        <w:jc w:val="center"/>
      </w:pPr>
      <w:r>
        <w:rPr>
          <w:rFonts w:ascii="Merriweather Sans Light" w:hAnsi="Merriweather Sans Light"/>
          <w:b/>
          <w:sz w:val="24"/>
        </w:rPr>
        <w:t>ARTIGO 16 - Comunicação e línguas oficiais</w:t>
      </w:r>
    </w:p>
    <w:p>
      <w:pPr>
        <w:spacing w:line="240" w:lineRule="auto" w:after="120"/>
        <w:ind w:firstLine="0" w:left="0" w:right="0"/>
        <w:jc w:val="both"/>
      </w:pPr>
      <w:r>
        <w:rPr>
          <w:rFonts w:ascii="Merriweather Sans Light" w:hAnsi="Merriweather Sans Light"/>
          <w:sz w:val="24"/>
        </w:rPr>
        <w:t>1. As Instituições, associações de instituições e autoridades das Partes, quando aplicarem este Acordo e a legislação pertinente ao seu âmbito material, podem comunicar-se diretamente, entre si e com as pessoas, bem como com os seus representantes, nas suas línguas oficiais.</w:t>
      </w:r>
    </w:p>
    <w:p>
      <w:pPr>
        <w:spacing w:line="240" w:lineRule="auto" w:after="120" w:before="240"/>
        <w:ind w:firstLine="0" w:left="0" w:right="0"/>
        <w:jc w:val="center"/>
      </w:pPr>
      <w:r>
        <w:rPr>
          <w:rFonts w:ascii="Merriweather Sans Light" w:hAnsi="Merriweather Sans Light"/>
          <w:b/>
          <w:sz w:val="24"/>
        </w:rPr>
        <w:t>ARTIGO 17 - Equiparação dos requerimentos</w:t>
      </w:r>
    </w:p>
    <w:p>
      <w:pPr>
        <w:spacing w:line="240" w:lineRule="auto" w:after="120"/>
        <w:ind w:firstLine="0" w:left="0" w:right="0"/>
        <w:jc w:val="both"/>
      </w:pPr>
      <w:r>
        <w:rPr>
          <w:rFonts w:ascii="Merriweather Sans Light" w:hAnsi="Merriweather Sans Light"/>
          <w:sz w:val="24"/>
        </w:rPr>
        <w:t>1. Se o requerimento para uma prestação, feito segundo a legislação de uma Parte, tiver sido apresentado à instituição da outra Parte autorizada a receber requerimentos para uma prestação equivalente, segundo a legislação que está submetida, esse requerimento será válido como se tivesse sido feito na instituição competente da primeira Parte.</w:t>
      </w:r>
    </w:p>
    <w:p>
      <w:pPr>
        <w:spacing w:line="240" w:lineRule="auto" w:after="120" w:before="240"/>
        <w:ind w:firstLine="0" w:left="0" w:right="0"/>
        <w:jc w:val="center"/>
      </w:pPr>
      <w:r>
        <w:rPr>
          <w:rFonts w:ascii="Merriweather Sans Light" w:hAnsi="Merriweather Sans Light"/>
          <w:b/>
          <w:sz w:val="24"/>
        </w:rPr>
        <w:t>ARTIGO 18 - Proteção de dados</w:t>
      </w:r>
    </w:p>
    <w:p>
      <w:pPr>
        <w:spacing w:line="240" w:lineRule="auto" w:after="120"/>
        <w:ind w:firstLine="0" w:left="0" w:right="0"/>
        <w:jc w:val="both"/>
      </w:pPr>
      <w:r>
        <w:rPr>
          <w:rFonts w:ascii="Merriweather Sans Light" w:hAnsi="Merriweather Sans Light"/>
          <w:sz w:val="24"/>
        </w:rPr>
        <w:t>1. Quando, em razão deste Acordo, foram transmitidos dados pessoais, serão aplicadas as seguintes disposições, observando-se, ainda, a legislação vigente em cada uma das Partes: os dados podem ser transmitidos às instâncias designadas na Parte receptora para a finalidade de aplicação deste Acordo e da legislação à qual ele se refere.</w:t>
      </w:r>
    </w:p>
    <w:p>
      <w:pPr>
        <w:spacing w:line="240" w:lineRule="auto" w:after="120" w:before="240"/>
        <w:ind w:firstLine="0" w:left="0" w:right="0"/>
        <w:jc w:val="center"/>
      </w:pPr>
      <w:r>
        <w:rPr>
          <w:rFonts w:ascii="Merriweather Sans Light" w:hAnsi="Merriweather Sans Light"/>
          <w:b/>
          <w:sz w:val="24"/>
        </w:rPr>
        <w:t>ARTIGO 19 - Execução deste Acordo e Organismos de Ligação</w:t>
      </w:r>
    </w:p>
    <w:p>
      <w:pPr>
        <w:spacing w:line="240" w:lineRule="auto" w:after="120"/>
        <w:ind w:firstLine="0" w:left="0" w:right="0"/>
        <w:jc w:val="both"/>
      </w:pPr>
      <w:r>
        <w:rPr>
          <w:rFonts w:ascii="Merriweather Sans Light" w:hAnsi="Merriweather Sans Light"/>
          <w:sz w:val="24"/>
        </w:rPr>
        <w:t>1. Os governos ou as autoridades competentes podem acordar sobre os convênios normativos necessários para a execução deste Acordo.</w:t>
      </w:r>
    </w:p>
    <w:p>
      <w:pPr>
        <w:spacing w:line="240" w:lineRule="auto" w:after="120"/>
        <w:ind w:firstLine="0" w:left="0" w:right="0"/>
        <w:jc w:val="both"/>
      </w:pPr>
      <w:r>
        <w:rPr>
          <w:rFonts w:ascii="Merriweather Sans Light" w:hAnsi="Merriweather Sans Light"/>
          <w:sz w:val="24"/>
        </w:rPr>
        <w:t>2. Para a execução deste Acordo são aqui determinados os seguintes organismos de ligação: a) na República Federal da Alemanha: para o seguro previdenciário: Deutsche Rentenversicherung Nordbayern, Bayreuth, Deutsche Rentenversicherung Bund, Berlin, Deutsche Rentenversicherung Knappschaft-Bahn-See, Bochum; b) na República Federativa do Brasil: INSS, Brasília.</w:t>
      </w:r>
    </w:p>
    <w:p>
      <w:pPr>
        <w:spacing w:line="240" w:lineRule="auto" w:after="120" w:before="240"/>
        <w:ind w:firstLine="0" w:left="0" w:right="0"/>
        <w:jc w:val="center"/>
      </w:pPr>
      <w:r>
        <w:rPr>
          <w:rFonts w:ascii="Merriweather Sans Light" w:hAnsi="Merriweather Sans Light"/>
          <w:b/>
          <w:sz w:val="24"/>
        </w:rPr>
        <w:t>ARTIGO 20 - Moeda e taxas de câmbio</w:t>
      </w:r>
    </w:p>
    <w:p>
      <w:pPr>
        <w:spacing w:line="240" w:lineRule="auto" w:after="120"/>
        <w:ind w:firstLine="0" w:left="0" w:right="0"/>
        <w:jc w:val="both"/>
      </w:pPr>
      <w:r>
        <w:rPr>
          <w:rFonts w:ascii="Merriweather Sans Light" w:hAnsi="Merriweather Sans Light"/>
          <w:sz w:val="24"/>
        </w:rPr>
        <w:t>1. Prestações pecuniárias podem ser efetuadas, por uma instituição de uma das Partes, a uma pessoa que se encontre no território da outra Parte, na moeda deste último e com efeito liberatório.</w:t>
      </w:r>
    </w:p>
    <w:p>
      <w:pPr>
        <w:spacing w:line="240" w:lineRule="auto" w:after="120" w:before="240"/>
        <w:ind w:firstLine="0" w:left="0" w:right="0"/>
        <w:jc w:val="center"/>
      </w:pPr>
      <w:r>
        <w:rPr>
          <w:rFonts w:ascii="Merriweather Sans Light" w:hAnsi="Merriweather Sans Light"/>
          <w:b/>
          <w:sz w:val="24"/>
        </w:rPr>
        <w:t>ARTIGO 21 - Reembolsos</w:t>
      </w:r>
    </w:p>
    <w:p>
      <w:pPr>
        <w:spacing w:line="240" w:lineRule="auto" w:after="120"/>
        <w:ind w:firstLine="0" w:left="0" w:right="0"/>
        <w:jc w:val="both"/>
      </w:pPr>
      <w:r>
        <w:rPr>
          <w:rFonts w:ascii="Merriweather Sans Light" w:hAnsi="Merriweather Sans Light"/>
          <w:sz w:val="24"/>
        </w:rPr>
        <w:t>Caso a Instituição de uma das Partes tenha pago, indevidamente, prestações pecuniárias, essa quantia paga indevidamente pode ser retida de uma prestação equivalente, a seu favor, segundo a legislação da outra Parte.</w:t>
      </w:r>
    </w:p>
    <w:p>
      <w:pPr>
        <w:spacing w:line="240" w:lineRule="auto" w:after="120" w:before="240"/>
        <w:ind w:firstLine="0" w:left="0" w:right="0"/>
        <w:jc w:val="center"/>
      </w:pPr>
      <w:r>
        <w:rPr>
          <w:rFonts w:ascii="Merriweather Sans Light" w:hAnsi="Merriweather Sans Light"/>
          <w:b/>
          <w:sz w:val="24"/>
        </w:rPr>
        <w:t>ARTIGO 22 - Solução de controvérsias</w:t>
      </w:r>
    </w:p>
    <w:p>
      <w:pPr>
        <w:spacing w:line="240" w:lineRule="auto" w:after="120"/>
        <w:ind w:firstLine="0" w:left="0" w:right="0"/>
        <w:jc w:val="both"/>
      </w:pPr>
      <w:r>
        <w:rPr>
          <w:rFonts w:ascii="Merriweather Sans Light" w:hAnsi="Merriweather Sans Light"/>
          <w:sz w:val="24"/>
        </w:rPr>
        <w:t>1. Controvérsias sobre a interpretação ou a execução deste Acordo serão resolvidas pelas autoridades competentes ou, se persistir a controvérsia, por negociação direta entre as Partes.</w:t>
      </w:r>
    </w:p>
    <w:p>
      <w:pPr>
        <w:spacing w:line="240" w:lineRule="auto" w:after="120" w:before="240"/>
        <w:ind w:firstLine="0" w:left="0" w:right="0"/>
        <w:jc w:val="center"/>
      </w:pPr>
      <w:r>
        <w:rPr>
          <w:rFonts w:ascii="Merriweather Sans Light" w:hAnsi="Merriweather Sans Light"/>
          <w:b/>
          <w:sz w:val="24"/>
        </w:rPr>
        <w:t>TÍTULO IV - DISPOSIÇÕES FINAIS E TRANSITÓRIAS</w:t>
      </w:r>
    </w:p>
    <w:p>
      <w:pPr>
        <w:spacing w:line="240" w:lineRule="auto" w:after="120" w:before="240"/>
        <w:ind w:firstLine="0" w:left="0" w:right="0"/>
        <w:jc w:val="center"/>
      </w:pPr>
      <w:r>
        <w:rPr>
          <w:rFonts w:ascii="Merriweather Sans Light" w:hAnsi="Merriweather Sans Light"/>
          <w:b/>
          <w:sz w:val="24"/>
        </w:rPr>
        <w:t>ARTIGO 23 - Direitos a prestações com base neste Acordo</w:t>
      </w:r>
    </w:p>
    <w:p>
      <w:pPr>
        <w:spacing w:line="240" w:lineRule="auto" w:after="120"/>
        <w:ind w:firstLine="0" w:left="0" w:right="0"/>
        <w:jc w:val="both"/>
      </w:pPr>
      <w:r>
        <w:rPr>
          <w:rFonts w:ascii="Merriweather Sans Light" w:hAnsi="Merriweather Sans Light"/>
          <w:sz w:val="24"/>
        </w:rPr>
        <w:t>1. O presente Acordo não serve de base para direito a prestações referentes a período de tempo anterior à entrada em vigor deste instrumento.</w:t>
      </w:r>
    </w:p>
    <w:p>
      <w:pPr>
        <w:spacing w:line="240" w:lineRule="auto" w:after="120"/>
        <w:ind w:firstLine="0" w:left="0" w:right="0"/>
        <w:jc w:val="both"/>
      </w:pPr>
      <w:r>
        <w:rPr>
          <w:rFonts w:ascii="Merriweather Sans Light" w:hAnsi="Merriweather Sans Light"/>
          <w:sz w:val="24"/>
        </w:rPr>
        <w:t>2. Na aplicação deste Acordo, os períodos de seguro anteriores à sua vigência, assim como os fatos juridicamente relevantes, serão levados em conta em conformidade com a respectiva legislação das Partes.</w:t>
      </w:r>
    </w:p>
    <w:p>
      <w:pPr>
        <w:spacing w:line="240" w:lineRule="auto" w:after="120" w:before="240"/>
        <w:ind w:firstLine="0" w:left="0" w:right="0"/>
        <w:jc w:val="center"/>
      </w:pPr>
      <w:r>
        <w:rPr>
          <w:rFonts w:ascii="Merriweather Sans Light" w:hAnsi="Merriweather Sans Light"/>
          <w:b/>
          <w:sz w:val="24"/>
        </w:rPr>
        <w:t>ARTIGO 24 - Protocolo Adicional</w:t>
      </w:r>
    </w:p>
    <w:p>
      <w:pPr>
        <w:spacing w:line="240" w:lineRule="auto" w:after="120"/>
        <w:ind w:firstLine="0" w:left="0" w:right="0"/>
        <w:jc w:val="both"/>
      </w:pPr>
      <w:r>
        <w:rPr>
          <w:rFonts w:ascii="Merriweather Sans Light" w:hAnsi="Merriweather Sans Light"/>
          <w:sz w:val="24"/>
        </w:rPr>
        <w:t>O Protocolo Adicional, em anexo, é parte integrante deste Acordo e dele não pode ser separado.</w:t>
      </w:r>
    </w:p>
    <w:p>
      <w:pPr>
        <w:spacing w:line="240" w:lineRule="auto" w:after="120" w:before="240"/>
        <w:ind w:firstLine="0" w:left="0" w:right="0"/>
        <w:jc w:val="center"/>
      </w:pPr>
      <w:r>
        <w:rPr>
          <w:rFonts w:ascii="Merriweather Sans Light" w:hAnsi="Merriweather Sans Light"/>
          <w:b/>
          <w:sz w:val="24"/>
        </w:rPr>
        <w:t>ARTIGO 25 - Vigência e denúncia</w:t>
      </w:r>
    </w:p>
    <w:p>
      <w:pPr>
        <w:spacing w:line="240" w:lineRule="auto" w:after="120"/>
        <w:ind w:firstLine="0" w:left="0" w:right="0"/>
        <w:jc w:val="both"/>
      </w:pPr>
      <w:r>
        <w:rPr>
          <w:rFonts w:ascii="Merriweather Sans Light" w:hAnsi="Merriweather Sans Light"/>
          <w:sz w:val="24"/>
        </w:rPr>
        <w:t>1. Este Acordo é válido por tempo indeterminado. Qualquer Parte pode denunciá-lo, por via diplomática e por escrito, até o dia 30 de setembro de cada ano. A denúncia será válida a partir do dia 1º de janeiro do ano seguinte.</w:t>
      </w:r>
    </w:p>
    <w:p>
      <w:pPr>
        <w:spacing w:line="240" w:lineRule="auto" w:after="120"/>
        <w:ind w:firstLine="0" w:left="0" w:right="0"/>
        <w:jc w:val="both"/>
      </w:pPr>
      <w:r>
        <w:rPr>
          <w:rFonts w:ascii="Merriweather Sans Light" w:hAnsi="Merriweather Sans Light"/>
          <w:sz w:val="24"/>
        </w:rPr>
        <w:t>2. Em caso de denúncia, as disposições deste Acordo continuam a vigorar para os direitos a prestações, adquiridos até esse momento. Ficam sem efeito, para esses direitos, quaisquer disposições legais restritivas que excluam um direito, ou suspendam ou revoquem prestações em função da estada no estrangeiro.</w:t>
      </w:r>
    </w:p>
    <w:p>
      <w:pPr>
        <w:spacing w:line="240" w:lineRule="auto" w:after="120" w:before="240"/>
        <w:ind w:firstLine="0" w:left="0" w:right="0"/>
        <w:jc w:val="center"/>
      </w:pPr>
      <w:r>
        <w:rPr>
          <w:rFonts w:ascii="Merriweather Sans Light" w:hAnsi="Merriweather Sans Light"/>
          <w:b/>
          <w:sz w:val="24"/>
        </w:rPr>
        <w:t>ARTIGO 26 - Ratificação e entrada em vigor</w:t>
      </w:r>
    </w:p>
    <w:p>
      <w:pPr>
        <w:spacing w:line="240" w:lineRule="auto" w:after="120"/>
        <w:ind w:firstLine="0" w:left="0" w:right="0"/>
        <w:jc w:val="both"/>
      </w:pPr>
      <w:r>
        <w:rPr>
          <w:rFonts w:ascii="Merriweather Sans Light" w:hAnsi="Merriweather Sans Light"/>
          <w:sz w:val="24"/>
        </w:rPr>
        <w:t>1. Este Acordo deverá ser ratificado em conformidade com os respectivos procedimentos constitucionais das Partes. A troca dos instrumentos de ratificação terá lugar, assim que possível, em Brasília.</w:t>
      </w:r>
    </w:p>
    <w:p>
      <w:pPr>
        <w:spacing w:line="240" w:lineRule="auto" w:after="120"/>
        <w:ind w:firstLine="0" w:left="0" w:right="0"/>
        <w:jc w:val="both"/>
      </w:pPr>
      <w:r>
        <w:rPr>
          <w:rFonts w:ascii="Merriweather Sans Light" w:hAnsi="Merriweather Sans Light"/>
          <w:sz w:val="24"/>
        </w:rPr>
        <w:t>2. Este Acordo entra em vigor no primeiro dia do segundo mês seguinte ao mês em que os instrumentos de ratificação tiverem sido trocados.</w:t>
      </w:r>
    </w:p>
    <w:p>
      <w:pPr>
        <w:spacing w:line="240" w:lineRule="auto" w:after="120"/>
        <w:ind w:firstLine="0" w:left="0" w:right="0"/>
        <w:jc w:val="both"/>
      </w:pPr>
      <w:r>
        <w:rPr>
          <w:rFonts w:ascii="Merriweather Sans Light" w:hAnsi="Merriweather Sans Light"/>
          <w:b/>
          <w:sz w:val="24"/>
        </w:rPr>
        <w:t>Feito em Berlim, aos 3 dias do mês de dezembro do ano de 2009 em dois originais, nos idiomas português e alemão, sendo ambos os textos igualmente autênticos.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erriweather Sans Light" w:hAnsi="Merriweather Sans Light"/>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