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ENTRE A REPÚBLICA FEDERATIVA DO BRASIL E O ESTADO DE ISRAEL DE PREVIDÊNCIA SOCIAL</w:t>
      </w:r>
    </w:p>
    <w:p>
      <w:pPr>
        <w:spacing w:line="240" w:lineRule="auto" w:after="120"/>
        <w:ind w:firstLine="0" w:left="0" w:right="0"/>
        <w:jc w:val="both"/>
      </w:pPr>
      <w:r>
        <w:rPr>
          <w:rFonts w:ascii="Merriweather Sans Light" w:hAnsi="Merriweather Sans Light"/>
          <w:sz w:val="24"/>
        </w:rPr>
        <w:t>A República Federativa do Brasil e o Estado de Israel, doravante denominados como "Partes Contratantes", imbuídos do desejo de regulamentar a relação entre seus dois Estados na área de Previdência Social, acordam o seguinte:</w:t>
      </w:r>
    </w:p>
    <w:p>
      <w:pPr>
        <w:spacing w:line="240" w:lineRule="auto" w:after="120" w:before="240"/>
        <w:ind w:firstLine="0" w:left="0" w:right="0"/>
        <w:jc w:val="center"/>
      </w:pPr>
      <w:r>
        <w:rPr>
          <w:rFonts w:ascii="Merriweather Sans Light" w:hAnsi="Merriweather Sans Light"/>
          <w:b/>
          <w:sz w:val="24"/>
        </w:rPr>
        <w:t>Parte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fins deste Acordo:</w:t>
      </w:r>
    </w:p>
    <w:p>
      <w:pPr>
        <w:spacing w:line="240" w:lineRule="auto" w:after="120"/>
        <w:ind w:firstLine="0" w:left="0" w:right="0"/>
        <w:jc w:val="both"/>
      </w:pPr>
      <w:r>
        <w:rPr>
          <w:rFonts w:ascii="Merriweather Sans Light" w:hAnsi="Merriweather Sans Light"/>
          <w:sz w:val="24"/>
        </w:rPr>
        <w:t>a) "Nacional", em relação a Israel, significa uma pessoa que tenha cidadania israelense de acordo com as leis de Israel; e, em relação ao Brasil, um brasileiro segundo a Constituição Federal e as leis da República Federativa do Brasil;</w:t>
      </w:r>
    </w:p>
    <w:p>
      <w:pPr>
        <w:spacing w:line="240" w:lineRule="auto" w:after="120"/>
        <w:ind w:firstLine="0" w:left="0" w:right="0"/>
        <w:jc w:val="both"/>
      </w:pPr>
      <w:r>
        <w:rPr>
          <w:rFonts w:ascii="Merriweather Sans Light" w:hAnsi="Merriweather Sans Light"/>
          <w:sz w:val="24"/>
        </w:rPr>
        <w:t>b) "Legislação" significa as leis, as regulamentações e os outros atos legais que regem a matéria especificada no Artigo 2 deste Acordo;</w:t>
      </w:r>
    </w:p>
    <w:p>
      <w:pPr>
        <w:spacing w:line="240" w:lineRule="auto" w:after="120"/>
        <w:ind w:firstLine="0" w:left="0" w:right="0"/>
        <w:jc w:val="both"/>
      </w:pPr>
      <w:r>
        <w:rPr>
          <w:rFonts w:ascii="Merriweather Sans Light" w:hAnsi="Merriweather Sans Light"/>
          <w:sz w:val="24"/>
        </w:rPr>
        <w:t>c) "Autoridade Competente" significa:</w:t>
      </w:r>
    </w:p>
    <w:p>
      <w:pPr>
        <w:spacing w:line="240" w:lineRule="auto" w:after="120"/>
        <w:ind w:firstLine="0" w:left="0" w:right="0"/>
        <w:jc w:val="both"/>
      </w:pPr>
      <w:r>
        <w:rPr>
          <w:rFonts w:ascii="Merriweather Sans Light" w:hAnsi="Merriweather Sans Light"/>
          <w:sz w:val="24"/>
        </w:rPr>
        <w:t>- em relação a Israel: o Ministério dos Assuntos Sociais e Serviços Sociais;</w:t>
      </w:r>
    </w:p>
    <w:p>
      <w:pPr>
        <w:spacing w:line="240" w:lineRule="auto" w:after="120"/>
        <w:ind w:firstLine="0" w:left="0" w:right="0"/>
        <w:jc w:val="both"/>
      </w:pPr>
      <w:r>
        <w:rPr>
          <w:rFonts w:ascii="Merriweather Sans Light" w:hAnsi="Merriweather Sans Light"/>
          <w:sz w:val="24"/>
        </w:rPr>
        <w:t>- em relação ao Brasil: o Ministério da Fazenda</w:t>
      </w:r>
    </w:p>
    <w:p>
      <w:pPr>
        <w:spacing w:line="240" w:lineRule="auto" w:after="120"/>
        <w:ind w:firstLine="0" w:left="0" w:right="0"/>
        <w:jc w:val="both"/>
      </w:pPr>
      <w:r>
        <w:rPr>
          <w:rFonts w:ascii="Merriweather Sans Light" w:hAnsi="Merriweather Sans Light"/>
          <w:sz w:val="24"/>
        </w:rPr>
        <w:t>d) "Instituição Competente" significa o organismo ou a autoridade responsável por implementar a legislação especificada no Artigo 2 deste Acordo e por conceder os benefícios sob a legislação aplicável;</w:t>
      </w:r>
    </w:p>
    <w:p>
      <w:pPr>
        <w:spacing w:line="240" w:lineRule="auto" w:after="120"/>
        <w:ind w:firstLine="0" w:left="0" w:right="0"/>
        <w:jc w:val="both"/>
      </w:pPr>
      <w:r>
        <w:rPr>
          <w:rFonts w:ascii="Merriweather Sans Light" w:hAnsi="Merriweather Sans Light"/>
          <w:sz w:val="24"/>
        </w:rPr>
        <w:t>e) "Benefício" significa qualquer pagamento em dinheiro ou outro benefício sob a legislação definida no Artigo 2 deste Acordo, incluindo qualquer valor adicional, acréscimo ou suplemento a ser pago em complemento ao benefício.</w:t>
      </w:r>
    </w:p>
    <w:p>
      <w:pPr>
        <w:spacing w:line="240" w:lineRule="auto" w:after="120"/>
        <w:ind w:firstLine="0" w:left="0" w:right="0"/>
        <w:jc w:val="both"/>
      </w:pPr>
      <w:r>
        <w:rPr>
          <w:rFonts w:ascii="Merriweather Sans Light" w:hAnsi="Merriweather Sans Light"/>
          <w:sz w:val="24"/>
        </w:rPr>
        <w:t>f) "Período de Seguro" significa:</w:t>
      </w:r>
    </w:p>
    <w:p>
      <w:pPr>
        <w:spacing w:line="240" w:lineRule="auto" w:after="120"/>
        <w:ind w:firstLine="0" w:left="0" w:right="0"/>
        <w:jc w:val="both"/>
      </w:pPr>
      <w:r>
        <w:rPr>
          <w:rFonts w:ascii="Merriweather Sans Light" w:hAnsi="Merriweather Sans Light"/>
          <w:sz w:val="24"/>
        </w:rPr>
        <w:t>- em relação a Israel: um período de emprego, de trabalho por conta própria, ou de pagamento de contribuições ou de residência, conforme definido ou reconhecido como um período de seguro na legislação de Israel, segundo a qual tal período foi ou é considerado como tendo sido cumprido, ou qualquer período semelhante à medida que seja reconhecida na legislação de Israel como equivalentemente a um período de seguro; e</w:t>
      </w:r>
    </w:p>
    <w:p>
      <w:pPr>
        <w:spacing w:line="240" w:lineRule="auto" w:after="120"/>
        <w:ind w:firstLine="0" w:left="0" w:right="0"/>
        <w:jc w:val="both"/>
      </w:pPr>
      <w:r>
        <w:rPr>
          <w:rFonts w:ascii="Merriweather Sans Light" w:hAnsi="Merriweather Sans Light"/>
          <w:sz w:val="24"/>
        </w:rPr>
        <w:t>- em relação ao Brasil: o tempo de contribuição ou qualquer período equivalente assim considerado nos termos da legislação brasileira;</w:t>
      </w:r>
    </w:p>
    <w:p>
      <w:pPr>
        <w:spacing w:line="240" w:lineRule="auto" w:after="120"/>
        <w:ind w:firstLine="0" w:left="0" w:right="0"/>
        <w:jc w:val="both"/>
      </w:pPr>
      <w:r>
        <w:rPr>
          <w:rFonts w:ascii="Merriweather Sans Light" w:hAnsi="Merriweather Sans Light"/>
          <w:sz w:val="24"/>
        </w:rPr>
        <w:t>g) "Residência" significa uma residência habitual legalmente estabelecida em cada Parte Contratante</w:t>
      </w:r>
    </w:p>
    <w:p>
      <w:pPr>
        <w:spacing w:line="240" w:lineRule="auto" w:after="120"/>
        <w:ind w:firstLine="0" w:left="0" w:right="0"/>
        <w:jc w:val="both"/>
      </w:pPr>
      <w:r>
        <w:rPr>
          <w:rFonts w:ascii="Merriweather Sans Light" w:hAnsi="Merriweather Sans Light"/>
          <w:sz w:val="24"/>
        </w:rPr>
        <w:t>h) "Estadia" significa residência temporária;</w:t>
      </w:r>
    </w:p>
    <w:p>
      <w:pPr>
        <w:spacing w:line="240" w:lineRule="auto" w:after="120"/>
        <w:ind w:firstLine="0" w:left="0" w:right="0"/>
        <w:jc w:val="both"/>
      </w:pPr>
      <w:r>
        <w:rPr>
          <w:rFonts w:ascii="Merriweather Sans Light" w:hAnsi="Merriweather Sans Light"/>
          <w:sz w:val="24"/>
        </w:rPr>
        <w:t>i) "Membro de Família", para Israel, significa as pessoas definidas ou reconhecidas como tal pela legislação aplicada pela Instituição Competente; e, para o Brasil, os dependentes, conforme definido na legislação brasileira;</w:t>
      </w:r>
    </w:p>
    <w:p>
      <w:pPr>
        <w:spacing w:line="240" w:lineRule="auto" w:after="120"/>
        <w:ind w:firstLine="0" w:left="0" w:right="0"/>
        <w:jc w:val="both"/>
      </w:pPr>
      <w:r>
        <w:rPr>
          <w:rFonts w:ascii="Merriweather Sans Light" w:hAnsi="Merriweather Sans Light"/>
          <w:sz w:val="24"/>
        </w:rPr>
        <w:t>j) "Organismo de Ligação": o organismo da Instituição Competente designado pelas Autoridades Competentes para efetuar a comunicação com a finalidade da aplicação deste Acordo;</w:t>
      </w:r>
    </w:p>
    <w:p>
      <w:pPr>
        <w:spacing w:line="240" w:lineRule="auto" w:after="120"/>
        <w:ind w:firstLine="0" w:left="0" w:right="0"/>
        <w:jc w:val="both"/>
      </w:pPr>
      <w:r>
        <w:rPr>
          <w:rFonts w:ascii="Merriweather Sans Light" w:hAnsi="Merriweather Sans Light"/>
          <w:sz w:val="24"/>
        </w:rPr>
        <w:t>k) "Dados pessoais" significa qualquer tipo de informação relacionada, direta ou indiretamente, a uma pessoa física identificada ou identificável (detentora dos dados pessoais);</w:t>
      </w:r>
    </w:p>
    <w:p>
      <w:pPr>
        <w:spacing w:line="240" w:lineRule="auto" w:after="120"/>
        <w:ind w:firstLine="0" w:left="0" w:right="0"/>
        <w:jc w:val="both"/>
      </w:pPr>
      <w:r>
        <w:rPr>
          <w:rFonts w:ascii="Merriweather Sans Light" w:hAnsi="Merriweather Sans Light"/>
          <w:sz w:val="24"/>
        </w:rPr>
        <w:t>l) "Processamento de dados pessoais" significa qualquer operação ou conjunto de operações, as quais são realizadas em dados pessoais, por meios automáticos ou não, tais como coleta, gravação, organização, armazenamento, adaptação ou alteração, recuperação, consulta, uso, divulgação, por transmissão ou disseminação ou outra forma de disponibilização, sistematização ou combinação, bloqueio, eliminação ou destruição.</w:t>
      </w:r>
    </w:p>
    <w:p>
      <w:pPr>
        <w:spacing w:line="240" w:lineRule="auto" w:after="120"/>
        <w:ind w:firstLine="0" w:left="0" w:right="0"/>
        <w:jc w:val="both"/>
      </w:pPr>
      <w:r>
        <w:rPr>
          <w:rFonts w:ascii="Merriweather Sans Light" w:hAnsi="Merriweather Sans Light"/>
          <w:sz w:val="24"/>
        </w:rPr>
        <w:t>2. Os demais termos ou expressões utilizadas neste Acordo terão os significados que lhes forem atribuídos pela legislação das Partes Contratantes. Os pronomes singulares também significarão plural, e os pronomes masculinos também se aplicarão ao feminino.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Âmbito Material</w:t>
      </w:r>
    </w:p>
    <w:p>
      <w:pPr>
        <w:spacing w:line="240" w:lineRule="auto" w:after="120"/>
        <w:ind w:firstLine="0" w:left="0" w:right="0"/>
        <w:jc w:val="both"/>
      </w:pPr>
      <w:r>
        <w:rPr>
          <w:rFonts w:ascii="Merriweather Sans Light" w:hAnsi="Merriweather Sans Light"/>
          <w:sz w:val="24"/>
        </w:rPr>
        <w:t>1. Este Acordo será aplicado à seguinte legislação:</w:t>
      </w:r>
    </w:p>
    <w:p>
      <w:pPr>
        <w:spacing w:line="240" w:lineRule="auto" w:after="120"/>
        <w:ind w:firstLine="0" w:left="0" w:right="0"/>
        <w:jc w:val="both"/>
      </w:pPr>
      <w:r>
        <w:rPr>
          <w:rFonts w:ascii="Merriweather Sans Light" w:hAnsi="Merriweather Sans Light"/>
          <w:sz w:val="24"/>
        </w:rPr>
        <w:t>A. Em relação a Israel: a Lei de Seguro Nacional (Versão consolidada) nº 5755 de 1995, à medida que se aplique às seguintes espécies de seguro:</w:t>
      </w:r>
    </w:p>
    <w:p>
      <w:pPr>
        <w:spacing w:line="240" w:lineRule="auto" w:after="120"/>
        <w:ind w:firstLine="0" w:left="0" w:right="0"/>
        <w:jc w:val="both"/>
      </w:pPr>
      <w:r>
        <w:rPr>
          <w:rFonts w:ascii="Merriweather Sans Light" w:hAnsi="Merriweather Sans Light"/>
          <w:sz w:val="24"/>
        </w:rPr>
        <w:t>a) Seguro por idade e de sobreviventes;</w:t>
      </w:r>
    </w:p>
    <w:p>
      <w:pPr>
        <w:spacing w:line="240" w:lineRule="auto" w:after="120"/>
        <w:ind w:firstLine="0" w:left="0" w:right="0"/>
        <w:jc w:val="both"/>
      </w:pPr>
      <w:r>
        <w:rPr>
          <w:rFonts w:ascii="Merriweather Sans Light" w:hAnsi="Merriweather Sans Light"/>
          <w:sz w:val="24"/>
        </w:rPr>
        <w:t>b) Seguro Invalidez;</w:t>
      </w:r>
    </w:p>
    <w:p>
      <w:pPr>
        <w:spacing w:line="240" w:lineRule="auto" w:after="120"/>
        <w:ind w:firstLine="0" w:left="0" w:right="0"/>
        <w:jc w:val="both"/>
      </w:pPr>
      <w:r>
        <w:rPr>
          <w:rFonts w:ascii="Merriweather Sans Light" w:hAnsi="Merriweather Sans Light"/>
          <w:sz w:val="24"/>
        </w:rPr>
        <w:t>c) Seguro Acidente do Trabalho;</w:t>
      </w:r>
    </w:p>
    <w:p>
      <w:pPr>
        <w:spacing w:line="240" w:lineRule="auto" w:after="120"/>
        <w:ind w:firstLine="0" w:left="0" w:right="0"/>
        <w:jc w:val="both"/>
      </w:pPr>
      <w:r>
        <w:rPr>
          <w:rFonts w:ascii="Merriweather Sans Light" w:hAnsi="Merriweather Sans Light"/>
          <w:sz w:val="24"/>
        </w:rPr>
        <w:t>d) Seguro Maternidade.</w:t>
      </w:r>
    </w:p>
    <w:p>
      <w:pPr>
        <w:spacing w:line="240" w:lineRule="auto" w:after="120"/>
        <w:ind w:firstLine="0" w:left="0" w:right="0"/>
        <w:jc w:val="both"/>
      </w:pPr>
      <w:r>
        <w:rPr>
          <w:rFonts w:ascii="Merriweather Sans Light" w:hAnsi="Merriweather Sans Light"/>
          <w:sz w:val="24"/>
        </w:rPr>
        <w:t>B. Em relação ao Brasil:</w:t>
      </w:r>
    </w:p>
    <w:p>
      <w:pPr>
        <w:spacing w:line="240" w:lineRule="auto" w:after="120"/>
        <w:ind w:firstLine="0" w:left="0" w:right="0"/>
        <w:jc w:val="both"/>
      </w:pPr>
      <w:r>
        <w:rPr>
          <w:rFonts w:ascii="Merriweather Sans Light" w:hAnsi="Merriweather Sans Light"/>
          <w:sz w:val="24"/>
        </w:rPr>
        <w:t>a) No Regime Geral de Previdência Social:</w:t>
      </w:r>
    </w:p>
    <w:p>
      <w:pPr>
        <w:spacing w:line="240" w:lineRule="auto" w:after="120"/>
        <w:ind w:firstLine="0" w:left="0" w:right="0"/>
        <w:jc w:val="both"/>
      </w:pPr>
      <w:r>
        <w:rPr>
          <w:rFonts w:ascii="Merriweather Sans Light" w:hAnsi="Merriweather Sans Light"/>
          <w:sz w:val="24"/>
        </w:rPr>
        <w:t>1) aposentadoria por idade; 2) pensão por morte; 3) aposentadoria por invalidez; 4) auxílio-doença acidentário; 5) salário-maternidade</w:t>
      </w:r>
    </w:p>
    <w:p>
      <w:pPr>
        <w:spacing w:line="240" w:lineRule="auto" w:after="120"/>
        <w:ind w:firstLine="0" w:left="0" w:right="0"/>
        <w:jc w:val="both"/>
      </w:pPr>
      <w:r>
        <w:rPr>
          <w:rFonts w:ascii="Merriweather Sans Light" w:hAnsi="Merriweather Sans Light"/>
          <w:sz w:val="24"/>
        </w:rPr>
        <w:t>b) Nos Regimes Próprios de Previdência Social dos servidores públicos civis:</w:t>
      </w:r>
    </w:p>
    <w:p>
      <w:pPr>
        <w:spacing w:line="240" w:lineRule="auto" w:after="120"/>
        <w:ind w:firstLine="0" w:left="0" w:right="0"/>
        <w:jc w:val="both"/>
      </w:pPr>
      <w:r>
        <w:rPr>
          <w:rFonts w:ascii="Merriweather Sans Light" w:hAnsi="Merriweather Sans Light"/>
          <w:sz w:val="24"/>
        </w:rPr>
        <w:t>1) aposentadoria por idade; 2) pensão por morte; 3) aposentadoria por invalidez.</w:t>
      </w:r>
    </w:p>
    <w:p>
      <w:pPr>
        <w:spacing w:line="240" w:lineRule="auto" w:after="120"/>
        <w:ind w:firstLine="0" w:left="0" w:right="0"/>
        <w:jc w:val="both"/>
      </w:pPr>
      <w:r>
        <w:rPr>
          <w:rFonts w:ascii="Merriweather Sans Light" w:hAnsi="Merriweather Sans Light"/>
          <w:sz w:val="24"/>
        </w:rPr>
        <w:t>2. Ressalvado o disposto no parágrafo 4 deste Artigo, este Acordo será aplicado, também, a qualquer legislação que consolide, substitua, altere ou complemente a legislação mencionada no parágrafo 1 deste Artigo.</w:t>
      </w:r>
    </w:p>
    <w:p>
      <w:pPr>
        <w:spacing w:line="240" w:lineRule="auto" w:after="120"/>
        <w:ind w:firstLine="0" w:left="0" w:right="0"/>
        <w:jc w:val="both"/>
      </w:pPr>
      <w:r>
        <w:rPr>
          <w:rFonts w:ascii="Merriweather Sans Light" w:hAnsi="Merriweather Sans Light"/>
          <w:sz w:val="24"/>
        </w:rPr>
        <w:t>3. Com a entrada em vigor deste acordo, as Autoridades Competentes por si mesmas ou entidades delegadas por elas deverão se notificar mutuamente no que concerne à legislação de previdência social. A partir da entrada em vigor, antes do fim de fevereiro de cada ano, as autoridades competentes deverão se notificar mutuamente sobre as alterações nas suas legislações ocorridas durante o ano anterior.</w:t>
      </w:r>
    </w:p>
    <w:p>
      <w:pPr>
        <w:spacing w:line="240" w:lineRule="auto" w:after="120"/>
        <w:ind w:firstLine="0" w:left="0" w:right="0"/>
        <w:jc w:val="both"/>
      </w:pPr>
      <w:r>
        <w:rPr>
          <w:rFonts w:ascii="Merriweather Sans Light" w:hAnsi="Merriweather Sans Light"/>
          <w:sz w:val="24"/>
        </w:rPr>
        <w:t>4. Este acordo não será aplicado à legislação que estende a aplicação da legislação especificada no parágrafo 1 deste Artigo a novos grupos de beneficiários, a menos que a Autoridade Competente por si mesma ou entidade delegada por ela da Parte Contratante em questão assim decidir e notificar do efeito relacionado com a notificação mencionada no parágrafo 3 deste artigo.</w:t>
      </w:r>
    </w:p>
    <w:p>
      <w:pPr>
        <w:spacing w:line="240" w:lineRule="auto" w:after="120"/>
        <w:ind w:firstLine="0" w:left="0" w:right="0"/>
        <w:jc w:val="both"/>
      </w:pPr>
      <w:r>
        <w:rPr>
          <w:rFonts w:ascii="Merriweather Sans Light" w:hAnsi="Merriweather Sans Light"/>
          <w:sz w:val="24"/>
        </w:rPr>
        <w:t>5. Salvo disposição contrária, a aplicação deste Acordo não será afetada por qualquer legislação supranacional que vincule uma Parte Contratante, acordos internacionais assinados pelas Partes Contratantes ou a legislação específica de uma Parte Contratante que tenha sido promulgada para a implementação de um acordo internacional.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