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120" w:before="240"/>
        <w:ind w:firstLine="0" w:left="0" w:right="0"/>
        <w:jc w:val="center"/>
      </w:pPr>
      <w:r>
        <w:rPr>
          <w:rFonts w:ascii="Merriweather Sans Light" w:hAnsi="Merriweather Sans Light"/>
          <w:b/>
          <w:sz w:val="24"/>
        </w:rPr>
        <w:t>ACORDO ENTRE A REPÚBLICA FEDERATIVA DO BRASIL E A REPÚBLICA ITALIANA SOBRE PREVIDÊNCIA SOCIAL</w:t>
      </w:r>
    </w:p>
    <w:p>
      <w:pPr>
        <w:spacing w:line="240" w:lineRule="auto" w:after="120"/>
        <w:ind w:firstLine="0" w:left="0" w:right="0"/>
        <w:jc w:val="both"/>
      </w:pPr>
      <w:r>
        <w:rPr>
          <w:rFonts w:ascii="Merriweather Sans Light" w:hAnsi="Merriweather Sans Light"/>
          <w:sz w:val="24"/>
        </w:rPr>
        <w:t>A República Federativa do Brasil e a República Italiana, doravante denominadas "Partes Contratantes", desejando estabelecer normas de coordenação de seus sistemas de previdência social, acordam o seguinte:</w:t>
      </w:r>
    </w:p>
    <w:p>
      <w:pPr>
        <w:spacing w:line="240" w:lineRule="auto" w:after="120" w:before="240"/>
        <w:ind w:firstLine="0" w:left="0" w:right="0"/>
        <w:jc w:val="center"/>
      </w:pPr>
      <w:r>
        <w:rPr>
          <w:rFonts w:ascii="Merriweather Sans Light" w:hAnsi="Merriweather Sans Light"/>
          <w:b/>
          <w:sz w:val="24"/>
        </w:rPr>
        <w:t>TÍTULO I</w:t>
      </w:r>
    </w:p>
    <w:p>
      <w:pPr>
        <w:spacing w:line="240" w:lineRule="auto" w:after="120" w:before="240"/>
        <w:ind w:firstLine="0" w:left="0" w:right="0"/>
        <w:jc w:val="center"/>
      </w:pPr>
      <w:r>
        <w:rPr>
          <w:rFonts w:ascii="Merriweather Sans Light" w:hAnsi="Merriweather Sans Light"/>
          <w:b/>
          <w:sz w:val="24"/>
        </w:rPr>
        <w:t>DISPOSIÇÕES GERAIS</w:t>
      </w:r>
    </w:p>
    <w:p>
      <w:pPr>
        <w:spacing w:line="240" w:lineRule="auto" w:after="120" w:before="240"/>
        <w:ind w:firstLine="0" w:left="0" w:right="0"/>
        <w:jc w:val="center"/>
      </w:pPr>
      <w:r>
        <w:rPr>
          <w:rFonts w:ascii="Merriweather Sans Light" w:hAnsi="Merriweather Sans Light"/>
          <w:b/>
          <w:sz w:val="24"/>
        </w:rPr>
        <w:t>Artigo 1</w:t>
      </w:r>
    </w:p>
    <w:p>
      <w:pPr>
        <w:spacing w:line="240" w:lineRule="auto" w:after="120"/>
        <w:ind w:firstLine="0" w:left="0" w:right="0"/>
        <w:jc w:val="both"/>
      </w:pPr>
      <w:r>
        <w:rPr>
          <w:rFonts w:ascii="Merriweather Sans Light" w:hAnsi="Merriweather Sans Light"/>
          <w:sz w:val="24"/>
        </w:rPr>
        <w:t>Definições Para fins do presente Acordo:</w:t>
      </w:r>
    </w:p>
    <w:p>
      <w:pPr>
        <w:spacing w:line="240" w:lineRule="auto" w:after="120"/>
        <w:ind w:firstLine="0" w:left="0" w:right="0"/>
        <w:jc w:val="both"/>
      </w:pPr>
      <w:r>
        <w:rPr>
          <w:rFonts w:ascii="Merriweather Sans Light" w:hAnsi="Merriweather Sans Light"/>
          <w:sz w:val="24"/>
        </w:rPr>
        <w:t>a) "Legislação" significa as leis, regulamentações e outros atos legais relativos à previdência social, conforme especificado no Artigo 2 deste Acordo;</w:t>
      </w:r>
    </w:p>
    <w:p>
      <w:pPr>
        <w:spacing w:line="240" w:lineRule="auto" w:after="120"/>
        <w:ind w:firstLine="0" w:left="0" w:right="0"/>
        <w:jc w:val="both"/>
      </w:pPr>
      <w:r>
        <w:rPr>
          <w:rFonts w:ascii="Merriweather Sans Light" w:hAnsi="Merriweather Sans Light"/>
          <w:sz w:val="24"/>
        </w:rPr>
        <w:t>b) "Autoridade Competente" significa:</w:t>
      </w:r>
    </w:p>
    <w:p>
      <w:pPr>
        <w:spacing w:line="240" w:lineRule="auto" w:after="120"/>
        <w:ind w:firstLine="0" w:left="0" w:right="0"/>
        <w:jc w:val="both"/>
      </w:pPr>
      <w:r>
        <w:rPr>
          <w:rFonts w:ascii="Merriweather Sans Light" w:hAnsi="Merriweather Sans Light"/>
          <w:sz w:val="24"/>
        </w:rPr>
        <w:t>- em relação ao Brasil: o Ministério do Trabalho e Previdência Social</w:t>
      </w:r>
    </w:p>
    <w:p>
      <w:pPr>
        <w:spacing w:line="240" w:lineRule="auto" w:after="120"/>
        <w:ind w:firstLine="0" w:left="0" w:right="0"/>
        <w:jc w:val="both"/>
      </w:pPr>
      <w:r>
        <w:rPr>
          <w:rFonts w:ascii="Merriweather Sans Light" w:hAnsi="Merriweather Sans Light"/>
          <w:sz w:val="24"/>
        </w:rPr>
        <w:t>- em relação à Itália: o Ministério do Trabalho e Políticas Sociais</w:t>
      </w:r>
    </w:p>
    <w:p>
      <w:pPr>
        <w:spacing w:line="240" w:lineRule="auto" w:after="120"/>
        <w:ind w:firstLine="0" w:left="0" w:right="0"/>
        <w:jc w:val="both"/>
      </w:pPr>
      <w:r>
        <w:rPr>
          <w:rFonts w:ascii="Merriweather Sans Light" w:hAnsi="Merriweather Sans Light"/>
          <w:sz w:val="24"/>
        </w:rPr>
        <w:t>c) "Instituição Competente" significa o organismo ou autoridade responsável pela implementação da legislação especificada no Artigo 2 e pela concessão dos benefícios sob essa legislação;</w:t>
      </w:r>
    </w:p>
    <w:p>
      <w:pPr>
        <w:spacing w:line="240" w:lineRule="auto" w:after="120"/>
        <w:ind w:firstLine="0" w:left="0" w:right="0"/>
        <w:jc w:val="both"/>
      </w:pPr>
      <w:r>
        <w:rPr>
          <w:rFonts w:ascii="Merriweather Sans Light" w:hAnsi="Merriweather Sans Light"/>
          <w:sz w:val="24"/>
        </w:rPr>
        <w:t>d) "Benefício" significa qualquer prestação, pensão ou renda sob a legislação especificada no Artigo 2, incluindo qualquer suplemento ou acréscimo;</w:t>
      </w:r>
    </w:p>
    <w:p>
      <w:pPr>
        <w:spacing w:line="240" w:lineRule="auto" w:after="120"/>
        <w:ind w:firstLine="0" w:left="0" w:right="0"/>
        <w:jc w:val="both"/>
      </w:pPr>
      <w:r>
        <w:rPr>
          <w:rFonts w:ascii="Merriweather Sans Light" w:hAnsi="Merriweather Sans Light"/>
          <w:sz w:val="24"/>
        </w:rPr>
        <w:t>e) "Período de Filiação" significa qualquer período de contribuição ou equivalente assim considerado pela legislação de cada Parte Contratante;</w:t>
      </w:r>
    </w:p>
    <w:p>
      <w:pPr>
        <w:spacing w:line="240" w:lineRule="auto" w:after="120"/>
        <w:ind w:firstLine="0" w:left="0" w:right="0"/>
        <w:jc w:val="both"/>
      </w:pPr>
      <w:r>
        <w:rPr>
          <w:rFonts w:ascii="Merriweather Sans Light" w:hAnsi="Merriweather Sans Light"/>
          <w:sz w:val="24"/>
        </w:rPr>
        <w:t>f) "Residência" significa residência habitual legalmente estabelecida no território de uma Parte Contratante;</w:t>
      </w:r>
    </w:p>
    <w:p>
      <w:pPr>
        <w:spacing w:line="240" w:lineRule="auto" w:after="120"/>
        <w:ind w:firstLine="0" w:left="0" w:right="0"/>
        <w:jc w:val="both"/>
      </w:pPr>
      <w:r>
        <w:rPr>
          <w:rFonts w:ascii="Merriweather Sans Light" w:hAnsi="Merriweather Sans Light"/>
          <w:sz w:val="24"/>
        </w:rPr>
        <w:t>g) "Trabalhador" significa qualquer pessoa sujeita à legislação de previdência social de uma Parte Contratante;</w:t>
      </w:r>
    </w:p>
    <w:p>
      <w:pPr>
        <w:spacing w:line="240" w:lineRule="auto" w:after="120"/>
        <w:ind w:firstLine="0" w:left="0" w:right="0"/>
        <w:jc w:val="both"/>
      </w:pPr>
      <w:r>
        <w:rPr>
          <w:rFonts w:ascii="Merriweather Sans Light" w:hAnsi="Merriweather Sans Light"/>
          <w:sz w:val="24"/>
        </w:rPr>
        <w:t>h) "Nacional" significa um cidadão de uma Parte Contratante conforme definido por sua legislação.</w:t>
      </w:r>
    </w:p>
    <w:p>
      <w:pPr>
        <w:spacing w:line="240" w:lineRule="auto" w:after="120" w:before="240"/>
        <w:ind w:firstLine="0" w:left="0" w:right="0"/>
        <w:jc w:val="center"/>
      </w:pPr>
      <w:r>
        <w:rPr>
          <w:rFonts w:ascii="Merriweather Sans Light" w:hAnsi="Merriweather Sans Light"/>
          <w:b/>
          <w:sz w:val="24"/>
        </w:rPr>
        <w:t>Artigo 2</w:t>
      </w:r>
    </w:p>
    <w:p>
      <w:pPr>
        <w:spacing w:line="240" w:lineRule="auto" w:after="120"/>
        <w:ind w:firstLine="0" w:left="0" w:right="0"/>
        <w:jc w:val="both"/>
      </w:pPr>
      <w:r>
        <w:rPr>
          <w:rFonts w:ascii="Merriweather Sans Light" w:hAnsi="Merriweather Sans Light"/>
          <w:sz w:val="24"/>
        </w:rPr>
        <w:t>Âmbito Material</w:t>
      </w:r>
    </w:p>
    <w:p>
      <w:pPr>
        <w:spacing w:line="240" w:lineRule="auto" w:after="120"/>
        <w:ind w:firstLine="0" w:left="0" w:right="0"/>
        <w:jc w:val="both"/>
      </w:pPr>
      <w:r>
        <w:rPr>
          <w:rFonts w:ascii="Merriweather Sans Light" w:hAnsi="Merriweather Sans Light"/>
          <w:sz w:val="24"/>
        </w:rPr>
        <w:t>1. Este Acordo aplica-se à legislação de cada Parte Contratante relativa aos seguintes benefícios:</w:t>
      </w:r>
    </w:p>
    <w:p>
      <w:pPr>
        <w:spacing w:line="240" w:lineRule="auto" w:after="120"/>
        <w:ind w:firstLine="0" w:left="0" w:right="0"/>
        <w:jc w:val="both"/>
      </w:pPr>
      <w:r>
        <w:rPr>
          <w:rFonts w:ascii="Merriweather Sans Light" w:hAnsi="Merriweather Sans Light"/>
          <w:sz w:val="24"/>
        </w:rPr>
        <w:t>A. Em relação ao Brasil:</w:t>
      </w:r>
    </w:p>
    <w:p>
      <w:pPr>
        <w:spacing w:line="240" w:lineRule="auto" w:after="120"/>
        <w:ind w:firstLine="0" w:left="0" w:right="0"/>
        <w:jc w:val="both"/>
      </w:pPr>
      <w:r>
        <w:rPr>
          <w:rFonts w:ascii="Merriweather Sans Light" w:hAnsi="Merriweather Sans Light"/>
          <w:sz w:val="24"/>
        </w:rPr>
        <w:t>a) Aposentadoria por idade</w:t>
      </w:r>
    </w:p>
    <w:p>
      <w:pPr>
        <w:spacing w:line="240" w:lineRule="auto" w:after="120"/>
        <w:ind w:firstLine="0" w:left="0" w:right="0"/>
        <w:jc w:val="both"/>
      </w:pPr>
      <w:r>
        <w:rPr>
          <w:rFonts w:ascii="Merriweather Sans Light" w:hAnsi="Merriweather Sans Light"/>
          <w:sz w:val="24"/>
        </w:rPr>
        <w:t>b) Pensão por morte</w:t>
      </w:r>
    </w:p>
    <w:p>
      <w:pPr>
        <w:spacing w:line="240" w:lineRule="auto" w:after="120"/>
        <w:ind w:firstLine="0" w:left="0" w:right="0"/>
        <w:jc w:val="both"/>
      </w:pPr>
      <w:r>
        <w:rPr>
          <w:rFonts w:ascii="Merriweather Sans Light" w:hAnsi="Merriweather Sans Light"/>
          <w:sz w:val="24"/>
        </w:rPr>
        <w:t>c) Aposentadoria por invalidez</w:t>
      </w:r>
    </w:p>
    <w:p>
      <w:pPr>
        <w:spacing w:line="240" w:lineRule="auto" w:after="120"/>
        <w:ind w:firstLine="0" w:left="0" w:right="0"/>
        <w:jc w:val="both"/>
      </w:pPr>
      <w:r>
        <w:rPr>
          <w:rFonts w:ascii="Merriweather Sans Light" w:hAnsi="Merriweather Sans Light"/>
          <w:sz w:val="24"/>
        </w:rPr>
        <w:t>B. Em relação à Itália:</w:t>
      </w:r>
    </w:p>
    <w:p>
      <w:pPr>
        <w:spacing w:line="240" w:lineRule="auto" w:after="120"/>
        <w:ind w:firstLine="0" w:left="0" w:right="0"/>
        <w:jc w:val="both"/>
      </w:pPr>
      <w:r>
        <w:rPr>
          <w:rFonts w:ascii="Merriweather Sans Light" w:hAnsi="Merriweather Sans Light"/>
          <w:sz w:val="24"/>
        </w:rPr>
        <w:t>a) Pensão de velhice</w:t>
      </w:r>
    </w:p>
    <w:p>
      <w:pPr>
        <w:spacing w:line="240" w:lineRule="auto" w:after="120"/>
        <w:ind w:firstLine="0" w:left="0" w:right="0"/>
        <w:jc w:val="both"/>
      </w:pPr>
      <w:r>
        <w:rPr>
          <w:rFonts w:ascii="Merriweather Sans Light" w:hAnsi="Merriweather Sans Light"/>
          <w:sz w:val="24"/>
        </w:rPr>
        <w:t>b) Pensão de sobreviventes</w:t>
      </w:r>
    </w:p>
    <w:p>
      <w:pPr>
        <w:spacing w:line="240" w:lineRule="auto" w:after="120"/>
        <w:ind w:firstLine="0" w:left="0" w:right="0"/>
        <w:jc w:val="both"/>
      </w:pPr>
      <w:r>
        <w:rPr>
          <w:rFonts w:ascii="Merriweather Sans Light" w:hAnsi="Merriweather Sans Light"/>
          <w:sz w:val="24"/>
        </w:rPr>
        <w:t>c) Pensão de invalidez</w:t>
      </w:r>
    </w:p>
    <w:p>
      <w:pPr>
        <w:spacing w:line="240" w:lineRule="auto" w:after="120"/>
        <w:ind w:firstLine="0" w:left="0" w:right="0"/>
        <w:jc w:val="both"/>
      </w:pPr>
      <w:r>
        <w:rPr>
          <w:rFonts w:ascii="Merriweather Sans Light" w:hAnsi="Merriweather Sans Light"/>
          <w:sz w:val="24"/>
        </w:rPr>
        <w:t>2. O presente Acordo também se aplica a qualquer legislação que modifique, complemente ou substitua a legislação mencionada no parágrafo 1 deste Artigo.</w:t>
      </w:r>
    </w:p>
    <w:p>
      <w:pPr>
        <w:spacing w:line="240" w:lineRule="auto" w:after="120" w:before="240"/>
        <w:ind w:firstLine="0" w:left="0" w:right="0"/>
        <w:jc w:val="center"/>
      </w:pPr>
      <w:r>
        <w:rPr>
          <w:rFonts w:ascii="Merriweather Sans Light" w:hAnsi="Merriweather Sans Light"/>
          <w:b/>
          <w:sz w:val="24"/>
        </w:rPr>
        <w:t>Artigo 3</w:t>
      </w:r>
    </w:p>
    <w:p>
      <w:pPr>
        <w:spacing w:line="240" w:lineRule="auto" w:after="120"/>
        <w:ind w:firstLine="0" w:left="0" w:right="0"/>
        <w:jc w:val="both"/>
      </w:pPr>
      <w:r>
        <w:rPr>
          <w:rFonts w:ascii="Merriweather Sans Light" w:hAnsi="Merriweather Sans Light"/>
          <w:sz w:val="24"/>
        </w:rPr>
        <w:t>Âmbito Pessoal O presente Acordo aplica-se a:</w:t>
      </w:r>
    </w:p>
    <w:p>
      <w:pPr>
        <w:spacing w:line="240" w:lineRule="auto" w:after="120"/>
        <w:ind w:firstLine="0" w:left="0" w:right="0"/>
        <w:jc w:val="both"/>
      </w:pPr>
      <w:r>
        <w:rPr>
          <w:rFonts w:ascii="Merriweather Sans Light" w:hAnsi="Merriweather Sans Light"/>
          <w:sz w:val="24"/>
        </w:rPr>
        <w:t>a) Nacionais de uma Parte Contratante sujeitos à legislação da outra;</w:t>
      </w:r>
    </w:p>
    <w:p>
      <w:pPr>
        <w:spacing w:line="240" w:lineRule="auto" w:after="120"/>
        <w:ind w:firstLine="0" w:left="0" w:right="0"/>
        <w:jc w:val="both"/>
      </w:pPr>
      <w:r>
        <w:rPr>
          <w:rFonts w:ascii="Merriweather Sans Light" w:hAnsi="Merriweather Sans Light"/>
          <w:sz w:val="24"/>
        </w:rPr>
        <w:t>b) Nacionais de outras nacionalidades que estejam ou tenham estado sujeitos à legislação de uma Parte Contratante;</w:t>
      </w:r>
    </w:p>
    <w:p>
      <w:pPr>
        <w:spacing w:line="240" w:lineRule="auto" w:after="120"/>
        <w:ind w:firstLine="0" w:left="0" w:right="0"/>
        <w:jc w:val="both"/>
      </w:pPr>
      <w:r>
        <w:rPr>
          <w:rFonts w:ascii="Merriweather Sans Light" w:hAnsi="Merriweather Sans Light"/>
          <w:sz w:val="24"/>
        </w:rPr>
        <w:t>c) Membros da família e sobreviventes de pessoas mencionadas acima.</w:t>
      </w:r>
    </w:p>
    <w:p>
      <w:pPr>
        <w:spacing w:line="240" w:lineRule="auto" w:after="120" w:before="240"/>
        <w:ind w:firstLine="0" w:left="0" w:right="0"/>
        <w:jc w:val="center"/>
      </w:pPr>
      <w:r>
        <w:rPr>
          <w:rFonts w:ascii="Merriweather Sans Light" w:hAnsi="Merriweather Sans Light"/>
          <w:b/>
          <w:sz w:val="24"/>
        </w:rPr>
        <w:t>TÍTULO II</w:t>
      </w:r>
    </w:p>
    <w:p>
      <w:pPr>
        <w:spacing w:line="240" w:lineRule="auto" w:after="120" w:before="240"/>
        <w:ind w:firstLine="0" w:left="0" w:right="0"/>
        <w:jc w:val="center"/>
      </w:pPr>
      <w:r>
        <w:rPr>
          <w:rFonts w:ascii="Merriweather Sans Light" w:hAnsi="Merriweather Sans Light"/>
          <w:b/>
          <w:sz w:val="24"/>
        </w:rPr>
        <w:t>DISPOSIÇÕES GERAIS SOBRE LEGISLAÇÃO APLICÁVEL</w:t>
      </w:r>
    </w:p>
    <w:p>
      <w:pPr>
        <w:spacing w:line="240" w:lineRule="auto" w:after="120" w:before="240"/>
        <w:ind w:firstLine="0" w:left="0" w:right="0"/>
        <w:jc w:val="center"/>
      </w:pPr>
      <w:r>
        <w:rPr>
          <w:rFonts w:ascii="Merriweather Sans Light" w:hAnsi="Merriweather Sans Light"/>
          <w:b/>
          <w:sz w:val="24"/>
        </w:rPr>
        <w:t>Artigo 4</w:t>
      </w:r>
    </w:p>
    <w:p>
      <w:pPr>
        <w:spacing w:line="240" w:lineRule="auto" w:after="120"/>
        <w:ind w:firstLine="0" w:left="0" w:right="0"/>
        <w:jc w:val="both"/>
      </w:pPr>
      <w:r>
        <w:rPr>
          <w:rFonts w:ascii="Merriweather Sans Light" w:hAnsi="Merriweather Sans Light"/>
          <w:sz w:val="24"/>
        </w:rPr>
        <w:t>Regra Geral Salvo disposição contrária neste Acordo, uma pessoa que trabalhe no território de uma Parte Contratante está sujeita exclusivamente à legislação dessa Parte.</w:t>
      </w:r>
    </w:p>
    <w:p>
      <w:pPr>
        <w:spacing w:line="240" w:lineRule="auto" w:after="120" w:before="240"/>
        <w:ind w:firstLine="0" w:left="0" w:right="0"/>
        <w:jc w:val="center"/>
      </w:pPr>
      <w:r>
        <w:rPr>
          <w:rFonts w:ascii="Merriweather Sans Light" w:hAnsi="Merriweather Sans Light"/>
          <w:b/>
          <w:sz w:val="24"/>
        </w:rPr>
        <w:t>Artigo 5</w:t>
      </w:r>
    </w:p>
    <w:p>
      <w:pPr>
        <w:spacing w:line="240" w:lineRule="auto" w:after="120"/>
        <w:ind w:firstLine="0" w:left="0" w:right="0"/>
        <w:jc w:val="both"/>
      </w:pPr>
      <w:r>
        <w:rPr>
          <w:rFonts w:ascii="Merriweather Sans Light" w:hAnsi="Merriweather Sans Light"/>
          <w:sz w:val="24"/>
        </w:rPr>
        <w:t>Deslocação Temporária Quando uma pessoa está temporariamente deslocada do território de uma Parte Contratante para o território da outra, permanece sujeita à legislação da primeira Parte Contratante pelo período da deslocação, desde que esse período não exceda 24 meses.</w:t>
      </w:r>
    </w:p>
    <w:p>
      <w:pPr>
        <w:spacing w:line="240" w:lineRule="auto" w:after="120" w:before="240"/>
        <w:ind w:firstLine="0" w:left="0" w:right="0"/>
        <w:jc w:val="center"/>
      </w:pPr>
      <w:r>
        <w:rPr>
          <w:rFonts w:ascii="Merriweather Sans Light" w:hAnsi="Merriweather Sans Light"/>
          <w:b/>
          <w:sz w:val="24"/>
        </w:rPr>
        <w:t>TÍTULO III</w:t>
      </w:r>
    </w:p>
    <w:p>
      <w:pPr>
        <w:spacing w:line="240" w:lineRule="auto" w:after="120" w:before="240"/>
        <w:ind w:firstLine="0" w:left="0" w:right="0"/>
        <w:jc w:val="center"/>
      </w:pPr>
      <w:r>
        <w:rPr>
          <w:rFonts w:ascii="Merriweather Sans Light" w:hAnsi="Merriweather Sans Light"/>
          <w:b/>
          <w:sz w:val="24"/>
        </w:rPr>
        <w:t>DISPOSIÇÕES ESPECIAIS SOBRE VÁRIAS CATEGORIAS DE BENEFÍCIOS</w:t>
      </w:r>
    </w:p>
    <w:p>
      <w:pPr>
        <w:spacing w:line="240" w:lineRule="auto" w:after="120" w:before="240"/>
        <w:ind w:firstLine="0" w:left="0" w:right="0"/>
        <w:jc w:val="center"/>
      </w:pPr>
      <w:r>
        <w:rPr>
          <w:rFonts w:ascii="Merriweather Sans Light" w:hAnsi="Merriweather Sans Light"/>
          <w:b/>
          <w:sz w:val="24"/>
        </w:rPr>
        <w:t>Artigo 6</w:t>
      </w:r>
    </w:p>
    <w:p>
      <w:pPr>
        <w:spacing w:line="240" w:lineRule="auto" w:after="120"/>
        <w:ind w:firstLine="0" w:left="0" w:right="0"/>
        <w:jc w:val="both"/>
      </w:pPr>
      <w:r>
        <w:rPr>
          <w:rFonts w:ascii="Merriweather Sans Light" w:hAnsi="Merriweather Sans Light"/>
          <w:sz w:val="24"/>
        </w:rPr>
        <w:t>Totalização de Períodos</w:t>
      </w:r>
    </w:p>
    <w:p>
      <w:pPr>
        <w:spacing w:line="240" w:lineRule="auto" w:after="120"/>
        <w:ind w:firstLine="0" w:left="0" w:right="0"/>
        <w:jc w:val="both"/>
      </w:pPr>
      <w:r>
        <w:rPr>
          <w:rFonts w:ascii="Merriweather Sans Light" w:hAnsi="Merriweather Sans Light"/>
          <w:sz w:val="24"/>
        </w:rPr>
        <w:t>1. Quando uma pessoa não puder optar a um benefício sob a legislação de uma Parte Contratante única, as instituições competentes das duas Partes levarão em conta os períodos de filiação cumpridos sob a legislação da outra Parte para fins de determinação do direito a prestações.</w:t>
      </w:r>
    </w:p>
    <w:p>
      <w:pPr>
        <w:spacing w:line="240" w:lineRule="auto" w:after="120"/>
        <w:ind w:firstLine="0" w:left="0" w:right="0"/>
        <w:jc w:val="both"/>
      </w:pPr>
      <w:r>
        <w:rPr>
          <w:rFonts w:ascii="Merriweather Sans Light" w:hAnsi="Merriweather Sans Light"/>
          <w:sz w:val="24"/>
        </w:rPr>
        <w:t>2. Os períodos de filiação serão totalizados exclusivamente quando necessário e apenas na medida em que forem necessários para o cumprimento dos requisitos legais de cada Parte Contratante.</w:t>
      </w:r>
    </w:p>
    <w:p>
      <w:pPr>
        <w:spacing w:line="240" w:lineRule="auto" w:after="120" w:before="240"/>
        <w:ind w:firstLine="0" w:left="0" w:right="0"/>
        <w:jc w:val="center"/>
      </w:pPr>
      <w:r>
        <w:rPr>
          <w:rFonts w:ascii="Merriweather Sans Light" w:hAnsi="Merriweather Sans Light"/>
          <w:b/>
          <w:sz w:val="24"/>
        </w:rPr>
        <w:t>Artigo 7</w:t>
      </w:r>
    </w:p>
    <w:p>
      <w:pPr>
        <w:spacing w:line="240" w:lineRule="auto" w:after="120"/>
        <w:ind w:firstLine="0" w:left="0" w:right="0"/>
        <w:jc w:val="both"/>
      </w:pPr>
      <w:r>
        <w:rPr>
          <w:rFonts w:ascii="Merriweather Sans Light" w:hAnsi="Merriweather Sans Light"/>
          <w:sz w:val="24"/>
        </w:rPr>
        <w:t>Cálculo de Benefícios</w:t>
      </w:r>
    </w:p>
    <w:p>
      <w:pPr>
        <w:spacing w:line="240" w:lineRule="auto" w:after="120"/>
        <w:ind w:firstLine="0" w:left="0" w:right="0"/>
        <w:jc w:val="both"/>
      </w:pPr>
      <w:r>
        <w:rPr>
          <w:rFonts w:ascii="Merriweather Sans Light" w:hAnsi="Merriweather Sans Light"/>
          <w:sz w:val="24"/>
        </w:rPr>
        <w:t>1. Quando a totalização de períodos seja necessária, o montante do benefício será calculado pelas instituições competentes de cada Parte Contratante de acordo com sua legislação aplicável.</w:t>
      </w:r>
    </w:p>
    <w:p>
      <w:pPr>
        <w:spacing w:line="240" w:lineRule="auto" w:after="120"/>
        <w:ind w:firstLine="0" w:left="0" w:right="0"/>
        <w:jc w:val="both"/>
      </w:pPr>
      <w:r>
        <w:rPr>
          <w:rFonts w:ascii="Merriweather Sans Light" w:hAnsi="Merriweather Sans Light"/>
          <w:sz w:val="24"/>
        </w:rPr>
        <w:t>2. O benefício total será a soma dos benefícios calculados por cada Parte de acordo com o parágrafo anterior.</w:t>
      </w:r>
    </w:p>
    <w:p>
      <w:pPr>
        <w:spacing w:line="240" w:lineRule="auto" w:after="120" w:before="240"/>
        <w:ind w:firstLine="0" w:left="0" w:right="0"/>
        <w:jc w:val="center"/>
      </w:pPr>
      <w:r>
        <w:rPr>
          <w:rFonts w:ascii="Merriweather Sans Light" w:hAnsi="Merriweather Sans Light"/>
          <w:b/>
          <w:sz w:val="24"/>
        </w:rPr>
        <w:t>TÍTULO IV</w:t>
      </w:r>
    </w:p>
    <w:p>
      <w:pPr>
        <w:spacing w:line="240" w:lineRule="auto" w:after="120" w:before="240"/>
        <w:ind w:firstLine="0" w:left="0" w:right="0"/>
        <w:jc w:val="center"/>
      </w:pPr>
      <w:r>
        <w:rPr>
          <w:rFonts w:ascii="Merriweather Sans Light" w:hAnsi="Merriweather Sans Light"/>
          <w:b/>
          <w:sz w:val="24"/>
        </w:rPr>
        <w:t>DISPOSIÇÕES ADMINISTRATIVAS E FINAIS</w:t>
      </w:r>
    </w:p>
    <w:p>
      <w:pPr>
        <w:spacing w:line="240" w:lineRule="auto" w:after="120" w:before="240"/>
        <w:ind w:firstLine="0" w:left="0" w:right="0"/>
        <w:jc w:val="center"/>
      </w:pPr>
      <w:r>
        <w:rPr>
          <w:rFonts w:ascii="Merriweather Sans Light" w:hAnsi="Merriweather Sans Light"/>
          <w:b/>
          <w:sz w:val="24"/>
        </w:rPr>
        <w:t>Artigo 8</w:t>
      </w:r>
    </w:p>
    <w:p>
      <w:pPr>
        <w:spacing w:line="240" w:lineRule="auto" w:after="120"/>
        <w:ind w:firstLine="0" w:left="0" w:right="0"/>
        <w:jc w:val="both"/>
      </w:pPr>
      <w:r>
        <w:rPr>
          <w:rFonts w:ascii="Merriweather Sans Light" w:hAnsi="Merriweather Sans Light"/>
          <w:sz w:val="24"/>
        </w:rPr>
        <w:t>Cooperação As autoridades e instituições competentes das duas Partes Contratantes se comprometerão a:</w:t>
      </w:r>
    </w:p>
    <w:p>
      <w:pPr>
        <w:spacing w:line="240" w:lineRule="auto" w:after="120"/>
        <w:ind w:firstLine="0" w:left="0" w:right="0"/>
        <w:jc w:val="both"/>
      </w:pPr>
      <w:r>
        <w:rPr>
          <w:rFonts w:ascii="Merriweather Sans Light" w:hAnsi="Merriweather Sans Light"/>
          <w:sz w:val="24"/>
        </w:rPr>
        <w:t>a) Cooperar mutuamente para facilitar a aplicação deste Acordo;</w:t>
      </w:r>
    </w:p>
    <w:p>
      <w:pPr>
        <w:spacing w:line="240" w:lineRule="auto" w:after="120"/>
        <w:ind w:firstLine="0" w:left="0" w:right="0"/>
        <w:jc w:val="both"/>
      </w:pPr>
      <w:r>
        <w:rPr>
          <w:rFonts w:ascii="Merriweather Sans Light" w:hAnsi="Merriweather Sans Light"/>
          <w:sz w:val="24"/>
        </w:rPr>
        <w:t>b) Trocar informações sobre medidas adotadas para implementação;</w:t>
      </w:r>
    </w:p>
    <w:p>
      <w:pPr>
        <w:spacing w:line="240" w:lineRule="auto" w:after="120"/>
        <w:ind w:firstLine="0" w:left="0" w:right="0"/>
        <w:jc w:val="both"/>
      </w:pPr>
      <w:r>
        <w:rPr>
          <w:rFonts w:ascii="Merriweather Sans Light" w:hAnsi="Merriweather Sans Light"/>
          <w:sz w:val="24"/>
        </w:rPr>
        <w:t>c) Notificar-se mutuamente sobre alterações em suas legislações.</w:t>
      </w:r>
    </w:p>
    <w:p>
      <w:pPr>
        <w:spacing w:line="240" w:lineRule="auto" w:after="120" w:before="240"/>
        <w:ind w:firstLine="0" w:left="0" w:right="0"/>
        <w:jc w:val="center"/>
      </w:pPr>
      <w:r>
        <w:rPr>
          <w:rFonts w:ascii="Merriweather Sans Light" w:hAnsi="Merriweather Sans Light"/>
          <w:b/>
          <w:sz w:val="24"/>
        </w:rPr>
        <w:t>Artigo 9</w:t>
      </w:r>
    </w:p>
    <w:p>
      <w:pPr>
        <w:spacing w:line="240" w:lineRule="auto" w:after="120"/>
        <w:ind w:firstLine="0" w:left="0" w:right="0"/>
        <w:jc w:val="both"/>
      </w:pPr>
      <w:r>
        <w:rPr>
          <w:rFonts w:ascii="Merriweather Sans Light" w:hAnsi="Merriweather Sans Light"/>
          <w:sz w:val="24"/>
        </w:rPr>
        <w:t>Organismos de Ligação Os organismos de ligação para fins do presente Acordo são:</w:t>
      </w:r>
    </w:p>
    <w:p>
      <w:pPr>
        <w:spacing w:line="240" w:lineRule="auto" w:after="120"/>
        <w:ind w:firstLine="0" w:left="0" w:right="0"/>
        <w:jc w:val="both"/>
      </w:pPr>
      <w:r>
        <w:rPr>
          <w:rFonts w:ascii="Merriweather Sans Light" w:hAnsi="Merriweather Sans Light"/>
          <w:sz w:val="24"/>
        </w:rPr>
        <w:t>a) No Brasil: o Instituto Nacional de Seguro Social (INSS) e a Administração de Previdência Social e Assuntos Internacionais (APSAI)</w:t>
      </w:r>
    </w:p>
    <w:p>
      <w:pPr>
        <w:spacing w:line="240" w:lineRule="auto" w:after="120"/>
        <w:ind w:firstLine="0" w:left="0" w:right="0"/>
        <w:jc w:val="both"/>
      </w:pPr>
      <w:r>
        <w:rPr>
          <w:rFonts w:ascii="Merriweather Sans Light" w:hAnsi="Merriweather Sans Light"/>
          <w:sz w:val="24"/>
        </w:rPr>
        <w:t>b) Na Itália: a Istituto Nazionale della Previdenza Sociale (INPS)</w:t>
      </w:r>
    </w:p>
    <w:p>
      <w:pPr>
        <w:spacing w:line="240" w:lineRule="auto" w:after="120" w:before="240"/>
        <w:ind w:firstLine="0" w:left="0" w:right="0"/>
        <w:jc w:val="center"/>
      </w:pPr>
      <w:r>
        <w:rPr>
          <w:rFonts w:ascii="Merriweather Sans Light" w:hAnsi="Merriweather Sans Light"/>
          <w:b/>
          <w:sz w:val="24"/>
        </w:rPr>
        <w:t>Artigo 10</w:t>
      </w:r>
    </w:p>
    <w:p>
      <w:pPr>
        <w:spacing w:line="240" w:lineRule="auto" w:after="120"/>
        <w:ind w:firstLine="0" w:left="0" w:right="0"/>
        <w:jc w:val="both"/>
      </w:pPr>
      <w:r>
        <w:rPr>
          <w:rFonts w:ascii="Merriweather Sans Light" w:hAnsi="Merriweather Sans Light"/>
          <w:sz w:val="24"/>
        </w:rPr>
        <w:t>Entrada em Vigor Este Acordo entrará em vigor no primeiro dia do mês seguinte àquele em que ambas as Partes notificarem que completaram os requisitos legais necessários para sua entrada em vigor.</w:t>
      </w:r>
    </w:p>
    <w:p>
      <w:pPr>
        <w:spacing w:line="240" w:lineRule="auto" w:after="120" w:before="240"/>
        <w:ind w:firstLine="0" w:left="0" w:right="0"/>
        <w:jc w:val="center"/>
      </w:pPr>
      <w:r>
        <w:rPr>
          <w:rFonts w:ascii="Merriweather Sans Light" w:hAnsi="Merriweather Sans Light"/>
          <w:b/>
          <w:sz w:val="24"/>
        </w:rPr>
        <w:t>Artigo 11</w:t>
      </w:r>
    </w:p>
    <w:p>
      <w:pPr>
        <w:spacing w:line="240" w:lineRule="auto" w:after="120"/>
        <w:ind w:firstLine="0" w:left="0" w:right="0"/>
        <w:jc w:val="both"/>
      </w:pPr>
      <w:r>
        <w:rPr>
          <w:rFonts w:ascii="Merriweather Sans Light" w:hAnsi="Merriweather Sans Light"/>
          <w:sz w:val="24"/>
        </w:rPr>
        <w:t>Denúncia Este Acordo permanecerá em vigor por período indeterminado. Qualquer Parte Contratante poderá denunciar o presente Acordo mediante notificação por escrito, sendo a denúncia efetiva 12 meses após a notificação.</w:t>
      </w:r>
    </w:p>
    <w:p>
      <w:pPr>
        <w:spacing w:line="240" w:lineRule="auto" w:after="120" w:before="240"/>
        <w:ind w:firstLine="0" w:left="0" w:right="0"/>
        <w:jc w:val="center"/>
      </w:pPr>
      <w:r>
        <w:rPr>
          <w:rFonts w:ascii="Merriweather Sans Light" w:hAnsi="Merriweather Sans Light"/>
          <w:b/>
          <w:sz w:val="24"/>
        </w:rPr>
        <w:t>Artigo 12</w:t>
      </w:r>
    </w:p>
    <w:p>
      <w:pPr>
        <w:spacing w:line="240" w:lineRule="auto" w:after="120"/>
        <w:ind w:firstLine="0" w:left="0" w:right="0"/>
        <w:jc w:val="both"/>
      </w:pPr>
      <w:r>
        <w:rPr>
          <w:rFonts w:ascii="Merriweather Sans Light" w:hAnsi="Merriweather Sans Light"/>
          <w:sz w:val="24"/>
        </w:rPr>
        <w:t>Disposições Transitórias Benefícios concedidos antes da entrada em vigor do presente Acordo não serão afetados pelos direitos ou obrigações estabelecidos neste Acordo.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erriweather Sans Light" w:hAnsi="Merriweather Sans Light"/>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