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Acordo Multilateral de Seguridade Social do Mercosul</w:t>
      </w:r>
    </w:p>
    <w:p>
      <w:pPr>
        <w:spacing w:line="240" w:lineRule="auto" w:after="120" w:before="240"/>
        <w:ind w:firstLine="0" w:left="0" w:right="0"/>
        <w:jc w:val="center"/>
      </w:pPr>
      <w:r>
        <w:rPr>
          <w:rFonts w:ascii="Merriweather Sans Light" w:hAnsi="Merriweather Sans Light"/>
          <w:b/>
          <w:sz w:val="24"/>
        </w:rPr>
        <w:t>ACORDO MULTILATERAL DE SEGURIDADE SOCIAL</w:t>
      </w:r>
    </w:p>
    <w:p>
      <w:pPr>
        <w:spacing w:line="240" w:lineRule="auto" w:after="120" w:before="240"/>
        <w:ind w:firstLine="0" w:left="0" w:right="0"/>
        <w:jc w:val="center"/>
      </w:pPr>
      <w:r>
        <w:rPr>
          <w:rFonts w:ascii="Merriweather Sans Light" w:hAnsi="Merriweather Sans Light"/>
          <w:b/>
          <w:sz w:val="24"/>
        </w:rPr>
        <w:t>DO MERCADO COMUM DO SUL</w:t>
      </w:r>
    </w:p>
    <w:p>
      <w:pPr>
        <w:spacing w:line="240" w:lineRule="auto" w:after="120"/>
        <w:ind w:firstLine="0" w:left="0" w:right="0"/>
        <w:jc w:val="both"/>
      </w:pPr>
      <w:r>
        <w:rPr>
          <w:rFonts w:ascii="Merriweather Sans Light" w:hAnsi="Merriweather Sans Light"/>
          <w:sz w:val="24"/>
        </w:rPr>
        <w:t>Os Governos da República Argentina, da República Federativa do Brasil, da República do Paraguai e da Republica Oriental do Uruguai,</w:t>
      </w:r>
    </w:p>
    <w:p>
      <w:pPr>
        <w:spacing w:line="240" w:lineRule="auto" w:after="120"/>
        <w:ind w:firstLine="0" w:left="0" w:right="0"/>
        <w:jc w:val="both"/>
      </w:pPr>
      <w:r>
        <w:rPr>
          <w:rFonts w:ascii="Merriweather Sans Light" w:hAnsi="Merriweather Sans Light"/>
          <w:b/>
          <w:sz w:val="24"/>
        </w:rPr>
        <w:t>CONSIDERANDO o Tratado de Assunção de 26 de março de 1991 e o Protocolo de Ouro Preto de 17 de dezembro de 1994; e DESEJOSOS em estabelecer normas que regulem as relações de Seguridade Social entre os países integrantes do MERCOSUL: Decidiram celebrar o presente Acordo Multilateral de Seguridade Social nos seguintes termos:</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ind w:firstLine="0" w:left="0" w:right="0"/>
        <w:jc w:val="both"/>
      </w:pPr>
      <w:r>
        <w:rPr>
          <w:rFonts w:ascii="Merriweather Sans Light" w:hAnsi="Merriweather Sans Light"/>
          <w:sz w:val="24"/>
        </w:rPr>
        <w:t>Disposições Gerais ARTIGO l</w:t>
      </w:r>
    </w:p>
    <w:p>
      <w:pPr>
        <w:spacing w:line="240" w:lineRule="auto" w:after="120"/>
        <w:ind w:firstLine="0" w:left="0" w:right="0"/>
        <w:jc w:val="both"/>
      </w:pPr>
      <w:r>
        <w:rPr>
          <w:rFonts w:ascii="Merriweather Sans Light" w:hAnsi="Merriweather Sans Light"/>
          <w:sz w:val="24"/>
        </w:rPr>
        <w:t>1. OS termos e expressões que se enumeram a seguir possuem, para</w:t>
      </w:r>
    </w:p>
    <w:p>
      <w:pPr>
        <w:spacing w:line="240" w:lineRule="auto" w:after="120"/>
        <w:ind w:firstLine="0" w:left="0" w:right="0"/>
        <w:jc w:val="both"/>
      </w:pPr>
      <w:r>
        <w:rPr>
          <w:rFonts w:ascii="Merriweather Sans Light" w:hAnsi="Merriweather Sans Light"/>
          <w:sz w:val="24"/>
        </w:rPr>
        <w:t>os efeitos de aplicação do Acordo, o seguinte significado:</w:t>
      </w:r>
    </w:p>
    <w:p>
      <w:pPr>
        <w:spacing w:line="240" w:lineRule="auto" w:after="120"/>
        <w:ind w:firstLine="0" w:left="0" w:right="0"/>
        <w:jc w:val="both"/>
      </w:pPr>
      <w:r>
        <w:rPr>
          <w:rFonts w:ascii="Merriweather Sans Light" w:hAnsi="Merriweather Sans Light"/>
          <w:sz w:val="24"/>
        </w:rPr>
        <w:t>a) "Estados Partes" designa à República Argentina, à República</w:t>
      </w:r>
    </w:p>
    <w:p>
      <w:pPr>
        <w:spacing w:line="240" w:lineRule="auto" w:after="120"/>
        <w:ind w:firstLine="0" w:left="0" w:right="0"/>
        <w:jc w:val="both"/>
      </w:pPr>
      <w:r>
        <w:rPr>
          <w:rFonts w:ascii="Merriweather Sans Light" w:hAnsi="Merriweather Sans Light"/>
          <w:sz w:val="24"/>
        </w:rPr>
        <w:t>Federativa do Brasil, à República do Paraguai e à República Oriental do Uruguai, ou qualquer outro Estado que venha a aderir de acordo com o previsto no Artigo 19 do presente Acordo;</w:t>
      </w:r>
    </w:p>
    <w:p>
      <w:pPr>
        <w:spacing w:line="240" w:lineRule="auto" w:after="120"/>
        <w:ind w:firstLine="0" w:left="0" w:right="0"/>
        <w:jc w:val="both"/>
      </w:pPr>
      <w:r>
        <w:rPr>
          <w:rFonts w:ascii="Merriweather Sans Light" w:hAnsi="Merriweather Sans Light"/>
          <w:sz w:val="24"/>
        </w:rPr>
        <w:t>b) "Legislação", leis, regulamentos e demais disposições sobre</w:t>
      </w:r>
    </w:p>
    <w:p>
      <w:pPr>
        <w:spacing w:line="240" w:lineRule="auto" w:after="120"/>
        <w:ind w:firstLine="0" w:left="0" w:right="0"/>
        <w:jc w:val="both"/>
      </w:pPr>
      <w:r>
        <w:rPr>
          <w:rFonts w:ascii="Merriweather Sans Light" w:hAnsi="Merriweather Sans Light"/>
          <w:sz w:val="24"/>
        </w:rPr>
        <w:t>Seguridade Social aplicáveis nos territórios dos Estados Partes;</w:t>
      </w:r>
    </w:p>
    <w:p>
      <w:pPr>
        <w:spacing w:line="240" w:lineRule="auto" w:after="120"/>
        <w:ind w:firstLine="0" w:left="0" w:right="0"/>
        <w:jc w:val="both"/>
      </w:pPr>
      <w:r>
        <w:rPr>
          <w:rFonts w:ascii="Merriweather Sans Light" w:hAnsi="Merriweather Sans Light"/>
          <w:sz w:val="24"/>
        </w:rPr>
        <w:t>c) "Autoridade Competente", os titulares dos organismos</w:t>
      </w:r>
    </w:p>
    <w:p>
      <w:pPr>
        <w:spacing w:line="240" w:lineRule="auto" w:after="120"/>
        <w:ind w:firstLine="0" w:left="0" w:right="0"/>
        <w:jc w:val="both"/>
      </w:pPr>
      <w:r>
        <w:rPr>
          <w:rFonts w:ascii="Merriweather Sans Light" w:hAnsi="Merriweather Sans Light"/>
          <w:sz w:val="24"/>
        </w:rPr>
        <w:t>governamentais que, conforme a legislação interna de cada Estado Parte, tenham competência sobre os regimes de Seguridade Social;</w:t>
      </w:r>
    </w:p>
    <w:p>
      <w:pPr>
        <w:spacing w:line="240" w:lineRule="auto" w:after="120"/>
        <w:ind w:firstLine="0" w:left="0" w:right="0"/>
        <w:jc w:val="both"/>
      </w:pPr>
      <w:r>
        <w:rPr>
          <w:rFonts w:ascii="Merriweather Sans Light" w:hAnsi="Merriweather Sans Light"/>
          <w:sz w:val="24"/>
        </w:rPr>
        <w:t>d) "Organismo de Ligação", organismo de coordenação entre as</w:t>
      </w:r>
    </w:p>
    <w:p>
      <w:pPr>
        <w:spacing w:line="240" w:lineRule="auto" w:after="120"/>
        <w:ind w:firstLine="0" w:left="0" w:right="0"/>
        <w:jc w:val="both"/>
      </w:pPr>
      <w:r>
        <w:rPr>
          <w:rFonts w:ascii="Merriweather Sans Light" w:hAnsi="Merriweather Sans Light"/>
          <w:sz w:val="24"/>
        </w:rPr>
        <w:t>instituições que intervenham na aplicação do Acordo;</w:t>
      </w:r>
    </w:p>
    <w:p>
      <w:pPr>
        <w:spacing w:line="240" w:lineRule="auto" w:after="120"/>
        <w:ind w:firstLine="0" w:left="0" w:right="0"/>
        <w:jc w:val="both"/>
      </w:pPr>
      <w:r>
        <w:rPr>
          <w:rFonts w:ascii="Merriweather Sans Light" w:hAnsi="Merriweather Sans Light"/>
          <w:sz w:val="24"/>
        </w:rPr>
        <w:t>e) "Entidades Gestoras", as instituições competentes para outorgar as</w:t>
      </w:r>
    </w:p>
    <w:p>
      <w:pPr>
        <w:spacing w:line="240" w:lineRule="auto" w:after="120"/>
        <w:ind w:firstLine="0" w:left="0" w:right="0"/>
        <w:jc w:val="both"/>
      </w:pPr>
      <w:r>
        <w:rPr>
          <w:rFonts w:ascii="Merriweather Sans Light" w:hAnsi="Merriweather Sans Light"/>
          <w:sz w:val="24"/>
        </w:rPr>
        <w:t>prestações amparadas pelo Acordo;</w:t>
      </w:r>
    </w:p>
    <w:p>
      <w:pPr>
        <w:spacing w:line="240" w:lineRule="auto" w:after="120"/>
        <w:ind w:firstLine="0" w:left="0" w:right="0"/>
        <w:jc w:val="both"/>
      </w:pPr>
      <w:r>
        <w:rPr>
          <w:rFonts w:ascii="Merriweather Sans Light" w:hAnsi="Merriweather Sans Light"/>
          <w:sz w:val="24"/>
        </w:rPr>
        <w:t>f) "Trabalhador", toda pessoa que, por realizar ou ter realizado uma</w:t>
      </w:r>
    </w:p>
    <w:p>
      <w:pPr>
        <w:spacing w:line="240" w:lineRule="auto" w:after="120"/>
        <w:ind w:firstLine="0" w:left="0" w:right="0"/>
        <w:jc w:val="both"/>
      </w:pPr>
      <w:r>
        <w:rPr>
          <w:rFonts w:ascii="Merriweather Sans Light" w:hAnsi="Merriweather Sans Light"/>
          <w:sz w:val="24"/>
        </w:rPr>
        <w:t>atividade, está ou esteve sujeita à legislação de um ou mais Estados Partes;</w:t>
      </w:r>
    </w:p>
    <w:p>
      <w:pPr>
        <w:spacing w:line="240" w:lineRule="auto" w:after="120"/>
        <w:ind w:firstLine="0" w:left="0" w:right="0"/>
        <w:jc w:val="both"/>
      </w:pPr>
      <w:r>
        <w:rPr>
          <w:rFonts w:ascii="Merriweather Sans Light" w:hAnsi="Merriweather Sans Light"/>
          <w:sz w:val="24"/>
        </w:rPr>
        <w:t>g) "Período de seguro ou contribuição", todo período definido como tal</w:t>
      </w:r>
    </w:p>
    <w:p>
      <w:pPr>
        <w:spacing w:line="240" w:lineRule="auto" w:after="120"/>
        <w:ind w:firstLine="0" w:left="0" w:right="0"/>
        <w:jc w:val="both"/>
      </w:pPr>
      <w:r>
        <w:rPr>
          <w:rFonts w:ascii="Merriweather Sans Light" w:hAnsi="Merriweather Sans Light"/>
          <w:sz w:val="24"/>
        </w:rPr>
        <w:t>pela legislação sob a qual o trabalhador esteja acolhido, assim como qualquer período considerado pela mesma como equivalente a um período de seguro ou contribuição;</w:t>
      </w:r>
    </w:p>
    <w:p>
      <w:pPr>
        <w:spacing w:line="240" w:lineRule="auto" w:after="120"/>
        <w:ind w:firstLine="0" w:left="0" w:right="0"/>
        <w:jc w:val="both"/>
      </w:pPr>
      <w:r>
        <w:rPr>
          <w:rFonts w:ascii="Merriweather Sans Light" w:hAnsi="Merriweather Sans Light"/>
          <w:sz w:val="24"/>
        </w:rPr>
        <w:t>h) "Prestações pecuniárias", qualquer prestação em espécie, renda,</w:t>
      </w:r>
    </w:p>
    <w:p>
      <w:pPr>
        <w:spacing w:line="240" w:lineRule="auto" w:after="120"/>
        <w:ind w:firstLine="0" w:left="0" w:right="0"/>
        <w:jc w:val="both"/>
      </w:pPr>
      <w:r>
        <w:rPr>
          <w:rFonts w:ascii="Merriweather Sans Light" w:hAnsi="Merriweather Sans Light"/>
          <w:sz w:val="24"/>
        </w:rPr>
        <w:t>subsidio ou indenização previstos pelas legislações e mencionadas no Acordo, incluído qualquer complemento, suplemento ou revalorização;</w:t>
      </w:r>
    </w:p>
    <w:p>
      <w:pPr>
        <w:spacing w:line="240" w:lineRule="auto" w:after="120"/>
        <w:ind w:firstLine="0" w:left="0" w:right="0"/>
        <w:jc w:val="both"/>
      </w:pPr>
      <w:r>
        <w:rPr>
          <w:rFonts w:ascii="Merriweather Sans Light" w:hAnsi="Merriweather Sans Light"/>
          <w:sz w:val="24"/>
        </w:rPr>
        <w:t>i) "Prestações de saúde", as destinadas a prevenir, conservar,</w:t>
      </w:r>
    </w:p>
    <w:p>
      <w:pPr>
        <w:spacing w:line="240" w:lineRule="auto" w:after="120"/>
        <w:ind w:firstLine="0" w:left="0" w:right="0"/>
        <w:jc w:val="both"/>
      </w:pPr>
      <w:r>
        <w:rPr>
          <w:rFonts w:ascii="Merriweather Sans Light" w:hAnsi="Merriweather Sans Light"/>
          <w:sz w:val="24"/>
        </w:rPr>
        <w:t>restabelecer a saúde ou rehabilitar profissionalmente o trabalhador nos termos previstos pelas respectivas legislações nacionais;</w:t>
      </w:r>
    </w:p>
    <w:p>
      <w:pPr>
        <w:spacing w:line="240" w:lineRule="auto" w:after="120"/>
        <w:ind w:firstLine="0" w:left="0" w:right="0"/>
        <w:jc w:val="both"/>
      </w:pPr>
      <w:r>
        <w:rPr>
          <w:rFonts w:ascii="Merriweather Sans Light" w:hAnsi="Merriweather Sans Light"/>
          <w:sz w:val="24"/>
        </w:rPr>
        <w:t>j) "Familiares e assemelhados", pessoas definidas ou admitidas como</w:t>
      </w:r>
    </w:p>
    <w:p>
      <w:pPr>
        <w:spacing w:line="240" w:lineRule="auto" w:after="120"/>
        <w:ind w:firstLine="0" w:left="0" w:right="0"/>
        <w:jc w:val="both"/>
      </w:pPr>
      <w:r>
        <w:rPr>
          <w:rFonts w:ascii="Merriweather Sans Light" w:hAnsi="Merriweather Sans Light"/>
          <w:sz w:val="24"/>
        </w:rPr>
        <w:t>tais pelas legislações mencionadas no Acordo.</w:t>
      </w:r>
    </w:p>
    <w:p>
      <w:pPr>
        <w:spacing w:line="240" w:lineRule="auto" w:after="120"/>
        <w:ind w:firstLine="0" w:left="0" w:right="0"/>
        <w:jc w:val="both"/>
      </w:pPr>
      <w:r>
        <w:rPr>
          <w:rFonts w:ascii="Merriweather Sans Light" w:hAnsi="Merriweather Sans Light"/>
          <w:sz w:val="24"/>
        </w:rPr>
        <w:t>2. Os demais termos ou expressões utilizados no Acordo possuem o</w:t>
      </w:r>
    </w:p>
    <w:p>
      <w:pPr>
        <w:spacing w:line="240" w:lineRule="auto" w:after="120"/>
        <w:ind w:firstLine="0" w:left="0" w:right="0"/>
        <w:jc w:val="both"/>
      </w:pPr>
      <w:r>
        <w:rPr>
          <w:rFonts w:ascii="Merriweather Sans Light" w:hAnsi="Merriweather Sans Light"/>
          <w:sz w:val="24"/>
        </w:rPr>
        <w:t>significado que lhes atribui a legislação aplicável.</w:t>
      </w:r>
    </w:p>
    <w:p>
      <w:pPr>
        <w:spacing w:line="240" w:lineRule="auto" w:after="120"/>
        <w:ind w:firstLine="0" w:left="0" w:right="0"/>
        <w:jc w:val="both"/>
      </w:pPr>
      <w:r>
        <w:rPr>
          <w:rFonts w:ascii="Merriweather Sans Light" w:hAnsi="Merriweather Sans Light"/>
          <w:sz w:val="24"/>
        </w:rPr>
        <w:t>3. Os Estados Partes designarão e comunicar-se-ão as Entidades</w:t>
      </w:r>
    </w:p>
    <w:p>
      <w:pPr>
        <w:spacing w:line="240" w:lineRule="auto" w:after="120"/>
        <w:ind w:firstLine="0" w:left="0" w:right="0"/>
        <w:jc w:val="both"/>
      </w:pPr>
      <w:r>
        <w:rPr>
          <w:rFonts w:ascii="Merriweather Sans Light" w:hAnsi="Merriweather Sans Light"/>
          <w:sz w:val="24"/>
        </w:rPr>
        <w:t>Gestoras e Organismos de Ligação.</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ind w:firstLine="0" w:left="0" w:right="0"/>
        <w:jc w:val="both"/>
      </w:pPr>
      <w:r>
        <w:rPr>
          <w:rFonts w:ascii="Merriweather Sans Light" w:hAnsi="Merriweather Sans Light"/>
          <w:sz w:val="24"/>
        </w:rPr>
        <w:t>Âmbito de aplicação pessoal</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1. Os direitos à Seguridade Social serão reconhecidos aos trabalhadores</w:t>
      </w:r>
    </w:p>
    <w:p>
      <w:pPr>
        <w:spacing w:line="240" w:lineRule="auto" w:after="120"/>
        <w:ind w:firstLine="0" w:left="0" w:right="0"/>
        <w:jc w:val="both"/>
      </w:pPr>
      <w:r>
        <w:rPr>
          <w:rFonts w:ascii="Merriweather Sans Light" w:hAnsi="Merriweather Sans Light"/>
          <w:sz w:val="24"/>
        </w:rPr>
        <w:t>que prestem ou tenham prestado serviços em quaisquer dos Estados Partes, sendo-lhes reconhecidos, assim como a seus familiares e assemelhados, os mesmos direitos e estando sujeitos às mesmas obrigações que os nacionais de tais Estados Partes com respeito aos especificamente mencionados no presente Acordo.</w:t>
      </w:r>
    </w:p>
    <w:p>
      <w:pPr>
        <w:spacing w:line="240" w:lineRule="auto" w:after="120"/>
        <w:ind w:firstLine="0" w:left="0" w:right="0"/>
        <w:jc w:val="both"/>
      </w:pPr>
      <w:r>
        <w:rPr>
          <w:rFonts w:ascii="Merriweather Sans Light" w:hAnsi="Merriweather Sans Light"/>
          <w:sz w:val="24"/>
        </w:rPr>
        <w:t>2. O presente Acordo também será aplicado aos trabalhadores de</w:t>
      </w:r>
    </w:p>
    <w:p>
      <w:pPr>
        <w:spacing w:line="240" w:lineRule="auto" w:after="120"/>
        <w:ind w:firstLine="0" w:left="0" w:right="0"/>
        <w:jc w:val="both"/>
      </w:pPr>
      <w:r>
        <w:rPr>
          <w:rFonts w:ascii="Merriweather Sans Light" w:hAnsi="Merriweather Sans Light"/>
          <w:sz w:val="24"/>
        </w:rPr>
        <w:t>qualquer outra nacionalidade residentes no território de um dos Estados Partes, desde que prestem ou tenham prestado serviços em tais Estados Partes.</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ind w:firstLine="0" w:left="0" w:right="0"/>
        <w:jc w:val="both"/>
      </w:pPr>
      <w:r>
        <w:rPr>
          <w:rFonts w:ascii="Merriweather Sans Light" w:hAnsi="Merriweather Sans Light"/>
          <w:sz w:val="24"/>
        </w:rPr>
        <w:t>Âmbito de aplicação material</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1 O presente Acordo será aplicado em conformidade com a legislação de seguridade social referente às prestações contributivas pecuniárias e de saúde existentes nos Estados Partes, na forma, condições e extensão aqui estabelecidas.</w:t>
      </w:r>
    </w:p>
    <w:p>
      <w:pPr>
        <w:spacing w:line="240" w:lineRule="auto" w:after="120"/>
        <w:ind w:firstLine="0" w:left="0" w:right="0"/>
        <w:jc w:val="both"/>
      </w:pPr>
      <w:r>
        <w:rPr>
          <w:rFonts w:ascii="Merriweather Sans Light" w:hAnsi="Merriweather Sans Light"/>
          <w:sz w:val="24"/>
        </w:rPr>
        <w:t>2. Cada Estado Parte concederá as prestações pecuniárias e de saúde</w:t>
      </w:r>
    </w:p>
    <w:p>
      <w:pPr>
        <w:spacing w:line="240" w:lineRule="auto" w:after="120"/>
        <w:ind w:firstLine="0" w:left="0" w:right="0"/>
        <w:jc w:val="both"/>
      </w:pPr>
      <w:r>
        <w:rPr>
          <w:rFonts w:ascii="Merriweather Sans Light" w:hAnsi="Merriweather Sans Light"/>
          <w:sz w:val="24"/>
        </w:rPr>
        <w:t>de acordo com sua própria legislação.</w:t>
      </w:r>
    </w:p>
    <w:p>
      <w:pPr>
        <w:spacing w:line="240" w:lineRule="auto" w:after="120"/>
        <w:ind w:firstLine="0" w:left="0" w:right="0"/>
        <w:jc w:val="both"/>
      </w:pPr>
      <w:r>
        <w:rPr>
          <w:rFonts w:ascii="Merriweather Sans Light" w:hAnsi="Merriweather Sans Light"/>
          <w:sz w:val="24"/>
        </w:rPr>
        <w:t>3. As normas sobre prescrição e caducidade vigentes em cada Estado</w:t>
      </w:r>
    </w:p>
    <w:p>
      <w:pPr>
        <w:spacing w:line="240" w:lineRule="auto" w:after="120"/>
        <w:ind w:firstLine="0" w:left="0" w:right="0"/>
        <w:jc w:val="both"/>
      </w:pPr>
      <w:r>
        <w:rPr>
          <w:rFonts w:ascii="Merriweather Sans Light" w:hAnsi="Merriweather Sans Light"/>
          <w:sz w:val="24"/>
        </w:rPr>
        <w:t>Parte serão aplicadas ao disposto neste Artigo.</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ind w:firstLine="0" w:left="0" w:right="0"/>
        <w:jc w:val="both"/>
      </w:pPr>
      <w:r>
        <w:rPr>
          <w:rFonts w:ascii="Merriweather Sans Light" w:hAnsi="Merriweather Sans Light"/>
          <w:sz w:val="24"/>
        </w:rPr>
        <w:t>Determinação da legislação aplicável</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O trabalhador estará submetido à legislação do Estado Parte em cujo território exerça a atividade laboral.</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O principio estabelecido no Artigo 4 tem as seguintes exceções:</w:t>
      </w:r>
    </w:p>
    <w:p>
      <w:pPr>
        <w:spacing w:line="240" w:lineRule="auto" w:after="120"/>
        <w:ind w:firstLine="0" w:left="0" w:right="0"/>
        <w:jc w:val="both"/>
      </w:pPr>
      <w:r>
        <w:rPr>
          <w:rFonts w:ascii="Merriweather Sans Light" w:hAnsi="Merriweather Sans Light"/>
          <w:sz w:val="24"/>
        </w:rPr>
        <w:t>a) o trabalhador de uma empresa com sede em um dos Estados Partes</w:t>
      </w:r>
    </w:p>
    <w:p>
      <w:pPr>
        <w:spacing w:line="240" w:lineRule="auto" w:after="120"/>
        <w:ind w:firstLine="0" w:left="0" w:right="0"/>
        <w:jc w:val="both"/>
      </w:pPr>
      <w:r>
        <w:rPr>
          <w:rFonts w:ascii="Merriweather Sans Light" w:hAnsi="Merriweather Sans Light"/>
          <w:sz w:val="24"/>
        </w:rPr>
        <w:t>que desempenhe tarefas profissionais, de pesquisa, cientificas, técnicas ou de direção, ou atividades similares, e outras que poderão ser definidas pela Comissão Multilateral Permanente prevista no Artigo 16, Parágrafo 2, e que seja deslocado para prestar serviços no território de outro Estado, por um período limitado, continuará sujeito à legislação do Estado Parte de origem até um prazo de doze meses, suscetível de ser prorrogado, em caráter excepcional, mediante prévio e expresso consentimento da Autoridade Competente do outro Estado Parte;</w:t>
      </w:r>
    </w:p>
    <w:p>
      <w:pPr>
        <w:spacing w:line="240" w:lineRule="auto" w:after="120"/>
        <w:ind w:firstLine="0" w:left="0" w:right="0"/>
        <w:jc w:val="both"/>
      </w:pPr>
      <w:r>
        <w:rPr>
          <w:rFonts w:ascii="Merriweather Sans Light" w:hAnsi="Merriweather Sans Light"/>
          <w:sz w:val="24"/>
        </w:rPr>
        <w:t>b) o pessoal de vôo das empresas de transporte aéreo e o pessoal de</w:t>
      </w:r>
    </w:p>
    <w:p>
      <w:pPr>
        <w:spacing w:line="240" w:lineRule="auto" w:after="120"/>
        <w:ind w:firstLine="0" w:left="0" w:right="0"/>
        <w:jc w:val="both"/>
      </w:pPr>
      <w:r>
        <w:rPr>
          <w:rFonts w:ascii="Merriweather Sans Light" w:hAnsi="Merriweather Sans Light"/>
          <w:sz w:val="24"/>
        </w:rPr>
        <w:t>trânsito das empresas de transporte terrestre continuarão exclusivamente sujeitos à legislação do Estado Parte em cujo território a respectiva empresa tenha sua sede;</w:t>
      </w:r>
    </w:p>
    <w:p>
      <w:pPr>
        <w:spacing w:line="240" w:lineRule="auto" w:after="120"/>
        <w:ind w:firstLine="0" w:left="0" w:right="0"/>
        <w:jc w:val="both"/>
      </w:pPr>
      <w:r>
        <w:rPr>
          <w:rFonts w:ascii="Merriweather Sans Light" w:hAnsi="Merriweather Sans Light"/>
          <w:sz w:val="24"/>
        </w:rPr>
        <w:t>c) os membros da tripulação de navio de bandeira de um dos Estados</w:t>
      </w:r>
    </w:p>
    <w:p>
      <w:pPr>
        <w:spacing w:line="240" w:lineRule="auto" w:after="120"/>
        <w:ind w:firstLine="0" w:left="0" w:right="0"/>
        <w:jc w:val="both"/>
      </w:pPr>
      <w:r>
        <w:rPr>
          <w:rFonts w:ascii="Merriweather Sans Light" w:hAnsi="Merriweather Sans Light"/>
          <w:sz w:val="24"/>
        </w:rPr>
        <w:t>Partes continuarão sujeitos à legislação do mesmo Estado. Qualquer outro trabalhador empregado em tarefas de carga e descarga, conserto e vigilância de navio, quando no porto, estará sujeito à legislação do Estado Parte sob cuja jurisdição se encontre o navio;</w:t>
      </w:r>
    </w:p>
    <w:p>
      <w:pPr>
        <w:spacing w:line="240" w:lineRule="auto" w:after="120"/>
        <w:ind w:firstLine="0" w:left="0" w:right="0"/>
        <w:jc w:val="both"/>
      </w:pPr>
      <w:r>
        <w:rPr>
          <w:rFonts w:ascii="Merriweather Sans Light" w:hAnsi="Merriweather Sans Light"/>
          <w:sz w:val="24"/>
        </w:rPr>
        <w:t>2. Os membros das representações diplomáticas e consulares,</w:t>
      </w:r>
    </w:p>
    <w:p>
      <w:pPr>
        <w:spacing w:line="240" w:lineRule="auto" w:after="120"/>
        <w:ind w:firstLine="0" w:left="0" w:right="0"/>
        <w:jc w:val="both"/>
      </w:pPr>
      <w:r>
        <w:rPr>
          <w:rFonts w:ascii="Merriweather Sans Light" w:hAnsi="Merriweather Sans Light"/>
          <w:sz w:val="24"/>
        </w:rPr>
        <w:t>organismos internacionais e demais funcionários ou empregados dessas representações serão regidos pelas legislações, tratados e convenções que lhes sejam aplicáveis.</w:t>
      </w:r>
    </w:p>
    <w:p>
      <w:pPr>
        <w:spacing w:line="240" w:lineRule="auto" w:after="120" w:before="240"/>
        <w:ind w:firstLine="0" w:left="0" w:right="0"/>
        <w:jc w:val="center"/>
      </w:pPr>
      <w:r>
        <w:rPr>
          <w:rFonts w:ascii="Merriweather Sans Light" w:hAnsi="Merriweather Sans Light"/>
          <w:b/>
          <w:sz w:val="24"/>
        </w:rPr>
        <w:t>TÍTULO V</w:t>
      </w:r>
    </w:p>
    <w:p>
      <w:pPr>
        <w:spacing w:line="240" w:lineRule="auto" w:after="120"/>
        <w:ind w:firstLine="0" w:left="0" w:right="0"/>
        <w:jc w:val="both"/>
      </w:pPr>
      <w:r>
        <w:rPr>
          <w:rFonts w:ascii="Merriweather Sans Light" w:hAnsi="Merriweather Sans Light"/>
          <w:sz w:val="24"/>
        </w:rPr>
        <w:t>Disposições sobre prestações de saúde</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1. As prestações de saúde serão outorgadas ao trabalhador deslocado</w:t>
      </w:r>
    </w:p>
    <w:p>
      <w:pPr>
        <w:spacing w:line="240" w:lineRule="auto" w:after="120"/>
        <w:ind w:firstLine="0" w:left="0" w:right="0"/>
        <w:jc w:val="both"/>
      </w:pPr>
      <w:r>
        <w:rPr>
          <w:rFonts w:ascii="Merriweather Sans Light" w:hAnsi="Merriweather Sans Light"/>
          <w:sz w:val="24"/>
        </w:rPr>
        <w:t>temporariamente para o território de outro Estado Parte, assim como para seus familiares e assemelhados, desde que a Entidade Gestora do Estado de origem autorize a sua outorga.</w:t>
      </w:r>
    </w:p>
    <w:p>
      <w:pPr>
        <w:spacing w:line="240" w:lineRule="auto" w:after="120"/>
        <w:ind w:firstLine="0" w:left="0" w:right="0"/>
        <w:jc w:val="both"/>
      </w:pPr>
      <w:r>
        <w:rPr>
          <w:rFonts w:ascii="Merriweather Sans Light" w:hAnsi="Merriweather Sans Light"/>
          <w:sz w:val="24"/>
        </w:rPr>
        <w:t>2. Os custos que se originen de acordo com o previsto no parágrafo</w:t>
      </w:r>
    </w:p>
    <w:p>
      <w:pPr>
        <w:spacing w:line="240" w:lineRule="auto" w:after="120"/>
        <w:ind w:firstLine="0" w:left="0" w:right="0"/>
        <w:jc w:val="both"/>
      </w:pPr>
      <w:r>
        <w:rPr>
          <w:rFonts w:ascii="Merriweather Sans Light" w:hAnsi="Merriweather Sans Light"/>
          <w:sz w:val="24"/>
        </w:rPr>
        <w:t>anterior correrão a cargo da Entidade Gestora que tenha autorizado a prestação.</w:t>
      </w:r>
    </w:p>
    <w:p>
      <w:pPr>
        <w:spacing w:line="240" w:lineRule="auto" w:after="120" w:before="240"/>
        <w:ind w:firstLine="0" w:left="0" w:right="0"/>
        <w:jc w:val="center"/>
      </w:pPr>
      <w:r>
        <w:rPr>
          <w:rFonts w:ascii="Merriweather Sans Light" w:hAnsi="Merriweather Sans Light"/>
          <w:b/>
          <w:sz w:val="24"/>
        </w:rPr>
        <w:t>TÍTULO VI</w:t>
      </w:r>
    </w:p>
    <w:p>
      <w:pPr>
        <w:spacing w:line="240" w:lineRule="auto" w:after="120"/>
        <w:ind w:firstLine="0" w:left="0" w:right="0"/>
        <w:jc w:val="both"/>
      </w:pPr>
      <w:r>
        <w:rPr>
          <w:rFonts w:ascii="Merriweather Sans Light" w:hAnsi="Merriweather Sans Light"/>
          <w:sz w:val="24"/>
        </w:rPr>
        <w:t>Totalização de períodos de seguro ou contribuição</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1. Os períodos de seguro ou contribuição cumpridos nos territórios dos</w:t>
      </w:r>
    </w:p>
    <w:p>
      <w:pPr>
        <w:spacing w:line="240" w:lineRule="auto" w:after="120"/>
        <w:ind w:firstLine="0" w:left="0" w:right="0"/>
        <w:jc w:val="both"/>
      </w:pPr>
      <w:r>
        <w:rPr>
          <w:rFonts w:ascii="Merriweather Sans Light" w:hAnsi="Merriweather Sans Light"/>
          <w:sz w:val="24"/>
        </w:rPr>
        <w:t>Estados Partes serão considerados, para a concessão das prestações por velhice, idade avançada, invalidez ou morte, na forma e nas condições estabelecidas no Regulamento Administrativo. Este Regulamento Administrativo estabelecerá também os mecanismos de pagamento pro-rata das prestações.</w:t>
      </w:r>
    </w:p>
    <w:p>
      <w:pPr>
        <w:spacing w:line="240" w:lineRule="auto" w:after="120"/>
        <w:ind w:firstLine="0" w:left="0" w:right="0"/>
        <w:jc w:val="both"/>
      </w:pPr>
      <w:r>
        <w:rPr>
          <w:rFonts w:ascii="Merriweather Sans Light" w:hAnsi="Merriweather Sans Light"/>
          <w:sz w:val="24"/>
        </w:rPr>
        <w:t>2. O Estado Parte onde o trabalhador tenha contribuído durante um</w:t>
      </w:r>
    </w:p>
    <w:p>
      <w:pPr>
        <w:spacing w:line="240" w:lineRule="auto" w:after="120"/>
        <w:ind w:firstLine="0" w:left="0" w:right="0"/>
        <w:jc w:val="both"/>
      </w:pPr>
      <w:r>
        <w:rPr>
          <w:rFonts w:ascii="Merriweather Sans Light" w:hAnsi="Merriweather Sans Light"/>
          <w:sz w:val="24"/>
        </w:rPr>
        <w:t>período inferior a doze meses poderá não reconhecer prestação alguma, independentemente de que tal período seja computado pelos demais Estados Partes.</w:t>
      </w:r>
    </w:p>
    <w:p>
      <w:pPr>
        <w:spacing w:line="240" w:lineRule="auto" w:after="120"/>
        <w:ind w:firstLine="0" w:left="0" w:right="0"/>
        <w:jc w:val="both"/>
      </w:pPr>
      <w:r>
        <w:rPr>
          <w:rFonts w:ascii="Merriweather Sans Light" w:hAnsi="Merriweather Sans Light"/>
          <w:sz w:val="24"/>
        </w:rPr>
        <w:t>3. Caso o trabalhador ou seus familiares e assemelhados não tenham</w:t>
      </w:r>
    </w:p>
    <w:p>
      <w:pPr>
        <w:spacing w:line="240" w:lineRule="auto" w:after="120"/>
        <w:ind w:firstLine="0" w:left="0" w:right="0"/>
        <w:jc w:val="both"/>
      </w:pPr>
      <w:r>
        <w:rPr>
          <w:rFonts w:ascii="Merriweather Sans Light" w:hAnsi="Merriweather Sans Light"/>
          <w:sz w:val="24"/>
        </w:rPr>
        <w:t>reunido o direito às prestações de acordo com as disposições do Parágrafo 1, serão também computáveis os serviços prestados em outro Estado que tenha celebrado acordos bilaterais ou multilaterais de Seguridade Social com qualquer dos Estados Partes.</w:t>
      </w:r>
    </w:p>
    <w:p>
      <w:pPr>
        <w:spacing w:line="240" w:lineRule="auto" w:after="120"/>
        <w:ind w:firstLine="0" w:left="0" w:right="0"/>
        <w:jc w:val="both"/>
      </w:pPr>
      <w:r>
        <w:rPr>
          <w:rFonts w:ascii="Merriweather Sans Light" w:hAnsi="Merriweather Sans Light"/>
          <w:sz w:val="24"/>
        </w:rPr>
        <w:t>4. Se somente um dos Estados Partes tiver concluído um acordo de</w:t>
      </w:r>
    </w:p>
    <w:p>
      <w:pPr>
        <w:spacing w:line="240" w:lineRule="auto" w:after="120"/>
        <w:ind w:firstLine="0" w:left="0" w:right="0"/>
        <w:jc w:val="both"/>
      </w:pPr>
      <w:r>
        <w:rPr>
          <w:rFonts w:ascii="Merriweather Sans Light" w:hAnsi="Merriweather Sans Light"/>
          <w:sz w:val="24"/>
        </w:rPr>
        <w:t>seguridade com outro pais, para fins da aplicação do Parágrafo 3, será necessário que tal Estado Parte assuma como próprio o período de seguro ou contribuição cumprido neste terceiro país.</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Os períodos de seguro ou contribuição cumpridos antes da vigência do presente Acordo serão considerados no caso de que o trabalhador tenha períodos de seguro ou contribuição posteriores a essa data, desde que estes não tenham sido utilizados anteriormente na concessão de prestações pecuniárias em outro pais.</w:t>
      </w:r>
    </w:p>
    <w:p>
      <w:pPr>
        <w:spacing w:line="240" w:lineRule="auto" w:after="120" w:before="240"/>
        <w:ind w:firstLine="0" w:left="0" w:right="0"/>
        <w:jc w:val="center"/>
      </w:pPr>
      <w:r>
        <w:rPr>
          <w:rFonts w:ascii="Merriweather Sans Light" w:hAnsi="Merriweather Sans Light"/>
          <w:b/>
          <w:sz w:val="24"/>
        </w:rPr>
        <w:t>TÍTULO VII</w:t>
      </w:r>
    </w:p>
    <w:p>
      <w:pPr>
        <w:spacing w:line="240" w:lineRule="auto" w:after="120"/>
        <w:ind w:firstLine="0" w:left="0" w:right="0"/>
        <w:jc w:val="both"/>
      </w:pPr>
      <w:r>
        <w:rPr>
          <w:rFonts w:ascii="Merriweather Sans Light" w:hAnsi="Merriweather Sans Light"/>
          <w:sz w:val="24"/>
        </w:rPr>
        <w:t>Disposições aplicáveis a regimes de aposentadoria e pensões de capitalização individual</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1. O presente Acordo será aplicável também aos trabalhadores filiados</w:t>
      </w:r>
    </w:p>
    <w:p>
      <w:pPr>
        <w:spacing w:line="240" w:lineRule="auto" w:after="120"/>
        <w:ind w:firstLine="0" w:left="0" w:right="0"/>
        <w:jc w:val="both"/>
      </w:pPr>
      <w:r>
        <w:rPr>
          <w:rFonts w:ascii="Merriweather Sans Light" w:hAnsi="Merriweather Sans Light"/>
          <w:sz w:val="24"/>
        </w:rPr>
        <w:t>a um regime de aposentadoria e pensões de capitalização individual estabelecido por algum dos Estados Partes para a obtenção das prestações por velhice, idade avançada, invalidez ou morte.</w:t>
      </w:r>
    </w:p>
    <w:p>
      <w:pPr>
        <w:spacing w:line="240" w:lineRule="auto" w:after="120"/>
        <w:ind w:firstLine="0" w:left="0" w:right="0"/>
        <w:jc w:val="both"/>
      </w:pPr>
      <w:r>
        <w:rPr>
          <w:rFonts w:ascii="Merriweather Sans Light" w:hAnsi="Merriweather Sans Light"/>
          <w:sz w:val="24"/>
        </w:rPr>
        <w:t>2. Os Estados Partes e os que venham a aderir, no futuro, ao presente</w:t>
      </w:r>
    </w:p>
    <w:p>
      <w:pPr>
        <w:spacing w:line="240" w:lineRule="auto" w:after="120"/>
        <w:ind w:firstLine="0" w:left="0" w:right="0"/>
        <w:jc w:val="both"/>
      </w:pPr>
      <w:r>
        <w:rPr>
          <w:rFonts w:ascii="Merriweather Sans Light" w:hAnsi="Merriweather Sans Light"/>
          <w:sz w:val="24"/>
        </w:rPr>
        <w:t>Acordo que possuírem regimes de aposentadoria e pensões de capitalização individual poderão estabelecer mecanismos de transferências de fundos para os fins de obtenção das prestações por velhice, idade avançada, invalidez ou morte. Tais transferências efetuar-se-ão na oportunidade em que o interessado comprovar direito à obtenção das respectivas prestações. A informação aos afiliados deverá ser proporcionada de acordo com a legislação de cada um dos Estados Partes.</w:t>
      </w:r>
    </w:p>
    <w:p>
      <w:pPr>
        <w:spacing w:line="240" w:lineRule="auto" w:after="120"/>
        <w:ind w:firstLine="0" w:left="0" w:right="0"/>
        <w:jc w:val="both"/>
      </w:pPr>
      <w:r>
        <w:rPr>
          <w:rFonts w:ascii="Merriweather Sans Light" w:hAnsi="Merriweather Sans Light"/>
          <w:sz w:val="24"/>
        </w:rPr>
        <w:t>3. As administradoras de fundos ou empresas seguradoras deverão dar</w:t>
      </w:r>
    </w:p>
    <w:p>
      <w:pPr>
        <w:spacing w:line="240" w:lineRule="auto" w:after="120"/>
        <w:ind w:firstLine="0" w:left="0" w:right="0"/>
        <w:jc w:val="both"/>
      </w:pPr>
      <w:r>
        <w:rPr>
          <w:rFonts w:ascii="Merriweather Sans Light" w:hAnsi="Merriweather Sans Light"/>
          <w:sz w:val="24"/>
        </w:rPr>
        <w:t>cumprimento aos mecanismos previstos neste Acordo.</w:t>
      </w:r>
    </w:p>
    <w:p>
      <w:pPr>
        <w:spacing w:line="240" w:lineRule="auto" w:after="120" w:before="240"/>
        <w:ind w:firstLine="0" w:left="0" w:right="0"/>
        <w:jc w:val="center"/>
      </w:pPr>
      <w:r>
        <w:rPr>
          <w:rFonts w:ascii="Merriweather Sans Light" w:hAnsi="Merriweather Sans Light"/>
          <w:b/>
          <w:sz w:val="24"/>
        </w:rPr>
        <w:t>TITULO VIII</w:t>
      </w:r>
    </w:p>
    <w:p>
      <w:pPr>
        <w:spacing w:line="240" w:lineRule="auto" w:after="120"/>
        <w:ind w:firstLine="0" w:left="0" w:right="0"/>
        <w:jc w:val="both"/>
      </w:pPr>
      <w:r>
        <w:rPr>
          <w:rFonts w:ascii="Merriweather Sans Light" w:hAnsi="Merriweather Sans Light"/>
          <w:sz w:val="24"/>
        </w:rPr>
        <w:t>Cooperação administrativa</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Os exames médico-periciais solicitados pela Entidade Gestora de um Estado Parte, para fins de avaliação da incapacidade temporária ou permanente dos trabalhadores ou de seus familiares ou assemelhados que se encontrem no território de outro Estado Parte, serão realizados pela Entidade Gestora deste último e correrão por conta da Entidade Gestora que o solicite.</w:t>
      </w:r>
    </w:p>
    <w:p>
      <w:pPr>
        <w:spacing w:line="240" w:lineRule="auto" w:after="120" w:before="240"/>
        <w:ind w:firstLine="0" w:left="0" w:right="0"/>
        <w:jc w:val="center"/>
      </w:pPr>
      <w:r>
        <w:rPr>
          <w:rFonts w:ascii="Merriweather Sans Light" w:hAnsi="Merriweather Sans Light"/>
          <w:b/>
          <w:sz w:val="24"/>
        </w:rPr>
        <w:t>TITULO IX</w:t>
      </w:r>
    </w:p>
    <w:p>
      <w:pPr>
        <w:spacing w:line="240" w:lineRule="auto" w:after="120"/>
        <w:ind w:firstLine="0" w:left="0" w:right="0"/>
        <w:jc w:val="both"/>
      </w:pPr>
      <w:r>
        <w:rPr>
          <w:rFonts w:ascii="Merriweather Sans Light" w:hAnsi="Merriweather Sans Light"/>
          <w:sz w:val="24"/>
        </w:rPr>
        <w:t>Disposições finais</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1 As Entidades Gestoras dos Estados Partes pagarão as prestações pecuniárias em moeda de seu próprio país.</w:t>
      </w:r>
    </w:p>
    <w:p>
      <w:pPr>
        <w:spacing w:line="240" w:lineRule="auto" w:after="120"/>
        <w:ind w:firstLine="0" w:left="0" w:right="0"/>
        <w:jc w:val="both"/>
      </w:pPr>
      <w:r>
        <w:rPr>
          <w:rFonts w:ascii="Merriweather Sans Light" w:hAnsi="Merriweather Sans Light"/>
          <w:sz w:val="24"/>
        </w:rPr>
        <w:t>2. As Entidades Gestoras dos Estados Partes estabelecerão mecanismos</w:t>
      </w:r>
    </w:p>
    <w:p>
      <w:pPr>
        <w:spacing w:line="240" w:lineRule="auto" w:after="120"/>
        <w:ind w:firstLine="0" w:left="0" w:right="0"/>
        <w:jc w:val="both"/>
      </w:pPr>
      <w:r>
        <w:rPr>
          <w:rFonts w:ascii="Merriweather Sans Light" w:hAnsi="Merriweather Sans Light"/>
          <w:sz w:val="24"/>
        </w:rPr>
        <w:t>de tran sferências de fundos para o pagamento das prestações pecuniárias do trabalhador ou de seus familiares ou assemelhados que residam no território de outro Estado.</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As prestações pecuniárias concedidas de acordo com o regime de um ou de outro Estado Parte não serão objeto de redução, suspensão ou extinção exclusivamente pelo fato de que o trabalhador ou seus familiares ou assemelhados residam em outro Estado Parte.</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1. Os documentos que sejam necessários para os fins do presente</w:t>
      </w:r>
    </w:p>
    <w:p>
      <w:pPr>
        <w:spacing w:line="240" w:lineRule="auto" w:after="120"/>
        <w:ind w:firstLine="0" w:left="0" w:right="0"/>
        <w:jc w:val="both"/>
      </w:pPr>
      <w:r>
        <w:rPr>
          <w:rFonts w:ascii="Merriweather Sans Light" w:hAnsi="Merriweather Sans Light"/>
          <w:sz w:val="24"/>
        </w:rPr>
        <w:t>Acordo não necessitarão de tradução oficial, visto ou legalização pelas autoridades diplomáticas, consulares e de registro público, desde que tenham tramitado com a intervenção de uma Entidade Gestora ou Organismo de Ligação.</w:t>
      </w:r>
    </w:p>
    <w:p>
      <w:pPr>
        <w:spacing w:line="240" w:lineRule="auto" w:after="120"/>
        <w:ind w:firstLine="0" w:left="0" w:right="0"/>
        <w:jc w:val="both"/>
      </w:pPr>
      <w:r>
        <w:rPr>
          <w:rFonts w:ascii="Merriweather Sans Light" w:hAnsi="Merriweather Sans Light"/>
          <w:sz w:val="24"/>
        </w:rPr>
        <w:t>2. A correspondência entre as Autoridades Competentes, Organismos</w:t>
      </w:r>
    </w:p>
    <w:p>
      <w:pPr>
        <w:spacing w:line="240" w:lineRule="auto" w:after="120"/>
        <w:ind w:firstLine="0" w:left="0" w:right="0"/>
        <w:jc w:val="both"/>
      </w:pPr>
      <w:r>
        <w:rPr>
          <w:rFonts w:ascii="Merriweather Sans Light" w:hAnsi="Merriweather Sans Light"/>
          <w:sz w:val="24"/>
        </w:rPr>
        <w:t>de Ligação e Entidades Gestoras dos Estados Partes será redigida no respectivo idioma oficial do Estado emissor.</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As solicitações e documentos apresentados perante as Autoridades Competentes ou Entidades Gestoras de qualquer Estado Parte onde o interessado comprove períodos de seguro ou contribuição ou residência surtirão efeito como se fossem apresentados às Autoridades ou Entidades Gestoras correspondentes do outro Estado Parte.</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Os recursos que corresponda interpor, perante uma Autoridade Competente ou Entidade Gestora de qualquer Estado Parte onde o interessado tenha períodos de seguro ou contribuição ou residência, serão considerados como interpostos em tempo hábil, mesmo quando apresentados à instituição correspondente do outro Estado Parte, desde que sua apresentação seja efetuada dentro do prazo estabelecido pela legislação do Estado perante o qual devam ser fundamentados os recursos.</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1. O presente Acordo será aplicado em conformidade com as</w:t>
      </w:r>
    </w:p>
    <w:p>
      <w:pPr>
        <w:spacing w:line="240" w:lineRule="auto" w:after="120"/>
        <w:ind w:firstLine="0" w:left="0" w:right="0"/>
        <w:jc w:val="both"/>
      </w:pPr>
      <w:r>
        <w:rPr>
          <w:rFonts w:ascii="Merriweather Sans Light" w:hAnsi="Merriweather Sans Light"/>
          <w:sz w:val="24"/>
        </w:rPr>
        <w:t>disposições do Regulamento Administrativo.</w:t>
      </w:r>
    </w:p>
    <w:p>
      <w:pPr>
        <w:spacing w:line="240" w:lineRule="auto" w:after="120"/>
        <w:ind w:firstLine="0" w:left="0" w:right="0"/>
        <w:jc w:val="both"/>
      </w:pPr>
      <w:r>
        <w:rPr>
          <w:rFonts w:ascii="Merriweather Sans Light" w:hAnsi="Merriweather Sans Light"/>
          <w:sz w:val="24"/>
        </w:rPr>
        <w:t>2. As Autoridades Competentes instituirão uma Comissão Multilateral</w:t>
      </w:r>
    </w:p>
    <w:p>
      <w:pPr>
        <w:spacing w:line="240" w:lineRule="auto" w:after="120"/>
        <w:ind w:firstLine="0" w:left="0" w:right="0"/>
        <w:jc w:val="both"/>
      </w:pPr>
      <w:r>
        <w:rPr>
          <w:rFonts w:ascii="Merriweather Sans Light" w:hAnsi="Merriweather Sans Light"/>
          <w:sz w:val="24"/>
        </w:rPr>
        <w:t>Permanente, que deliberará por consenso e onde cada representação estará integrada por até 3 membros de cada Estado Parte. A Comissão terá as seguintes funções:</w:t>
      </w:r>
    </w:p>
    <w:p>
      <w:pPr>
        <w:spacing w:line="240" w:lineRule="auto" w:after="120"/>
        <w:ind w:firstLine="0" w:left="0" w:right="0"/>
        <w:jc w:val="both"/>
      </w:pPr>
      <w:r>
        <w:rPr>
          <w:rFonts w:ascii="Merriweather Sans Light" w:hAnsi="Merriweather Sans Light"/>
          <w:sz w:val="24"/>
        </w:rPr>
        <w:t>a) verificar a aplicação do Acordo, do Regulamento Administrativo e</w:t>
      </w:r>
    </w:p>
    <w:p>
      <w:pPr>
        <w:spacing w:line="240" w:lineRule="auto" w:after="120"/>
        <w:ind w:firstLine="0" w:left="0" w:right="0"/>
        <w:jc w:val="both"/>
      </w:pPr>
      <w:r>
        <w:rPr>
          <w:rFonts w:ascii="Merriweather Sans Light" w:hAnsi="Merriweather Sans Light"/>
          <w:sz w:val="24"/>
        </w:rPr>
        <w:t>demais instrumentos complementares;</w:t>
      </w:r>
    </w:p>
    <w:p>
      <w:pPr>
        <w:spacing w:line="240" w:lineRule="auto" w:after="120"/>
        <w:ind w:firstLine="0" w:left="0" w:right="0"/>
        <w:jc w:val="both"/>
      </w:pPr>
      <w:r>
        <w:rPr>
          <w:rFonts w:ascii="Merriweather Sans Light" w:hAnsi="Merriweather Sans Light"/>
          <w:sz w:val="24"/>
        </w:rPr>
        <w:t>b) assessorar as Autoridades Competentes;</w:t>
      </w:r>
    </w:p>
    <w:p>
      <w:pPr>
        <w:spacing w:line="240" w:lineRule="auto" w:after="120"/>
        <w:ind w:firstLine="0" w:left="0" w:right="0"/>
        <w:jc w:val="both"/>
      </w:pPr>
      <w:r>
        <w:rPr>
          <w:rFonts w:ascii="Merriweather Sans Light" w:hAnsi="Merriweather Sans Light"/>
          <w:sz w:val="24"/>
        </w:rPr>
        <w:t>c) planejar as</w:t>
      </w:r>
    </w:p>
    <w:p>
      <w:pPr>
        <w:spacing w:line="240" w:lineRule="auto" w:after="120"/>
        <w:ind w:firstLine="0" w:left="0" w:right="0"/>
        <w:jc w:val="both"/>
      </w:pPr>
      <w:r>
        <w:rPr>
          <w:rFonts w:ascii="Merriweather Sans Light" w:hAnsi="Merriweather Sans Light"/>
          <w:sz w:val="24"/>
        </w:rPr>
        <w:t>complementares; eventuais modificações, ampliações e normas</w:t>
      </w:r>
    </w:p>
    <w:p>
      <w:pPr>
        <w:spacing w:line="240" w:lineRule="auto" w:after="120"/>
        <w:ind w:firstLine="0" w:left="0" w:right="0"/>
        <w:jc w:val="both"/>
      </w:pPr>
      <w:r>
        <w:rPr>
          <w:rFonts w:ascii="Merriweather Sans Light" w:hAnsi="Merriweather Sans Light"/>
          <w:sz w:val="24"/>
        </w:rPr>
        <w:t>d) manter negociações diretas, por um prazo de 6 meses, a fim de</w:t>
      </w:r>
    </w:p>
    <w:p>
      <w:pPr>
        <w:spacing w:line="240" w:lineRule="auto" w:after="120"/>
        <w:ind w:firstLine="0" w:left="0" w:right="0"/>
        <w:jc w:val="both"/>
      </w:pPr>
      <w:r>
        <w:rPr>
          <w:rFonts w:ascii="Merriweather Sans Light" w:hAnsi="Merriweather Sans Light"/>
          <w:sz w:val="24"/>
        </w:rPr>
        <w:t>resolver as eventuais divergências sobre a aplicação do Acordo. Vencido o término anterior sem que tenham resolvido as diferenças, qualquer um dos Estados Partes poderá recorrer ao sistema de solução de controvérsia vigente entre os Estados Partes do Tratado de Assunção.</w:t>
      </w:r>
    </w:p>
    <w:p>
      <w:pPr>
        <w:spacing w:line="240" w:lineRule="auto" w:after="120"/>
        <w:ind w:firstLine="0" w:left="0" w:right="0"/>
        <w:jc w:val="both"/>
      </w:pPr>
      <w:r>
        <w:rPr>
          <w:rFonts w:ascii="Merriweather Sans Light" w:hAnsi="Merriweather Sans Light"/>
          <w:sz w:val="24"/>
        </w:rPr>
        <w:t>3. A Comissão Multilateral Permanente reunir-se-á uma vez por ano,</w:t>
      </w:r>
    </w:p>
    <w:p>
      <w:pPr>
        <w:spacing w:line="240" w:lineRule="auto" w:after="120"/>
        <w:ind w:firstLine="0" w:left="0" w:right="0"/>
        <w:jc w:val="both"/>
      </w:pPr>
      <w:r>
        <w:rPr>
          <w:rFonts w:ascii="Merriweather Sans Light" w:hAnsi="Merriweather Sans Light"/>
          <w:sz w:val="24"/>
        </w:rPr>
        <w:t>alternadamente em cada um dos Estados Partes, ou quando o solicite um deles.</w:t>
      </w:r>
    </w:p>
    <w:p>
      <w:pPr>
        <w:spacing w:line="240" w:lineRule="auto" w:after="120"/>
        <w:ind w:firstLine="0" w:left="0" w:right="0"/>
        <w:jc w:val="both"/>
      </w:pPr>
      <w:r>
        <w:rPr>
          <w:rFonts w:ascii="Merriweather Sans Light" w:hAnsi="Merriweather Sans Light"/>
          <w:sz w:val="24"/>
        </w:rPr>
        <w:t>4. As Autoridades Competentes poderão delegar a elaboração do</w:t>
      </w:r>
    </w:p>
    <w:p>
      <w:pPr>
        <w:spacing w:line="240" w:lineRule="auto" w:after="120"/>
        <w:ind w:firstLine="0" w:left="0" w:right="0"/>
        <w:jc w:val="both"/>
      </w:pPr>
      <w:r>
        <w:rPr>
          <w:rFonts w:ascii="Merriweather Sans Light" w:hAnsi="Merriweather Sans Light"/>
          <w:sz w:val="24"/>
        </w:rPr>
        <w:t>Regulamento Administrativo e demais instrumentos complementares à Comissão Multilateral Permanente.</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1. O presente Acordo estará sujeito à ratificação e entrará em vigor a</w:t>
      </w:r>
    </w:p>
    <w:p>
      <w:pPr>
        <w:spacing w:line="240" w:lineRule="auto" w:after="120"/>
        <w:ind w:firstLine="0" w:left="0" w:right="0"/>
        <w:jc w:val="both"/>
      </w:pPr>
      <w:r>
        <w:rPr>
          <w:rFonts w:ascii="Merriweather Sans Light" w:hAnsi="Merriweather Sans Light"/>
          <w:sz w:val="24"/>
        </w:rPr>
        <w:t>partir do primeiro dia do mês seguinte à data do depósito do último instrumento de ratificação.</w:t>
      </w:r>
    </w:p>
    <w:p>
      <w:pPr>
        <w:spacing w:line="240" w:lineRule="auto" w:after="120"/>
        <w:ind w:firstLine="0" w:left="0" w:right="0"/>
        <w:jc w:val="both"/>
      </w:pPr>
      <w:r>
        <w:rPr>
          <w:rFonts w:ascii="Merriweather Sans Light" w:hAnsi="Merriweather Sans Light"/>
          <w:sz w:val="24"/>
        </w:rPr>
        <w:t>2. O presente Acordo e seus instrumentos de ratificação serão</w:t>
      </w:r>
    </w:p>
    <w:p>
      <w:pPr>
        <w:spacing w:line="240" w:lineRule="auto" w:after="120"/>
        <w:ind w:firstLine="0" w:left="0" w:right="0"/>
        <w:jc w:val="both"/>
      </w:pPr>
      <w:r>
        <w:rPr>
          <w:rFonts w:ascii="Merriweather Sans Light" w:hAnsi="Merriweather Sans Light"/>
          <w:sz w:val="24"/>
        </w:rPr>
        <w:t>depositados perante o Governo da República do Paraguai, o qual comunicará aos Governos dos Estados Partes a data do depósito dos instrumentos de ratificação e da entrada em vigor do presente Acordo.</w:t>
      </w:r>
    </w:p>
    <w:p>
      <w:pPr>
        <w:spacing w:line="240" w:lineRule="auto" w:after="120"/>
        <w:ind w:firstLine="0" w:left="0" w:right="0"/>
        <w:jc w:val="both"/>
      </w:pPr>
      <w:r>
        <w:rPr>
          <w:rFonts w:ascii="Merriweather Sans Light" w:hAnsi="Merriweather Sans Light"/>
          <w:sz w:val="24"/>
        </w:rPr>
        <w:t>3. O Governo da República do Paraguai enviará cópia autenticada do</w:t>
      </w:r>
    </w:p>
    <w:p>
      <w:pPr>
        <w:spacing w:line="240" w:lineRule="auto" w:after="120"/>
        <w:ind w:firstLine="0" w:left="0" w:right="0"/>
        <w:jc w:val="both"/>
      </w:pPr>
      <w:r>
        <w:rPr>
          <w:rFonts w:ascii="Merriweather Sans Light" w:hAnsi="Merriweather Sans Light"/>
          <w:sz w:val="24"/>
        </w:rPr>
        <w:t>presente Acordo aos Governos dos demais Estados Partes.</w:t>
      </w:r>
    </w:p>
    <w:p>
      <w:pPr>
        <w:spacing w:line="240" w:lineRule="auto" w:after="120"/>
        <w:ind w:firstLine="0" w:left="0" w:right="0"/>
        <w:jc w:val="both"/>
      </w:pPr>
      <w:r>
        <w:rPr>
          <w:rFonts w:ascii="Merriweather Sans Light" w:hAnsi="Merriweather Sans Light"/>
          <w:sz w:val="24"/>
        </w:rPr>
        <w:t>4. A partir da entrada em vigor do presente Acordo, ficarão derrogados</w:t>
      </w:r>
    </w:p>
    <w:p>
      <w:pPr>
        <w:spacing w:line="240" w:lineRule="auto" w:after="120"/>
        <w:ind w:firstLine="0" w:left="0" w:right="0"/>
        <w:jc w:val="both"/>
      </w:pPr>
      <w:r>
        <w:rPr>
          <w:rFonts w:ascii="Merriweather Sans Light" w:hAnsi="Merriweather Sans Light"/>
          <w:sz w:val="24"/>
        </w:rPr>
        <w:t>os Acordos Bilaterais de Seguridade Social ou de Previdência Social celebrados entre os Estados Partes. A entrada em vigor do presente Acordo não significará em nenhum caso a perda de direitos adquiridos ao amparo dos mencionados Acordos Bilaterais.</w:t>
      </w:r>
    </w:p>
    <w:p>
      <w:pPr>
        <w:spacing w:line="240" w:lineRule="auto" w:after="120" w:before="240"/>
        <w:ind w:firstLine="0" w:left="0" w:right="0"/>
        <w:jc w:val="center"/>
      </w:pPr>
      <w:r>
        <w:rPr>
          <w:rFonts w:ascii="Merriweather Sans Light" w:hAnsi="Merriweather Sans Light"/>
          <w:b/>
          <w:sz w:val="24"/>
        </w:rPr>
        <w:t>ARTIGO 18</w:t>
      </w:r>
    </w:p>
    <w:p>
      <w:pPr>
        <w:spacing w:line="240" w:lineRule="auto" w:after="120"/>
        <w:ind w:firstLine="0" w:left="0" w:right="0"/>
        <w:jc w:val="both"/>
      </w:pPr>
      <w:r>
        <w:rPr>
          <w:rFonts w:ascii="Merriweather Sans Light" w:hAnsi="Merriweather Sans Light"/>
          <w:sz w:val="24"/>
        </w:rPr>
        <w:t>1. O presente Acordo terá duração indefinida.</w:t>
      </w:r>
    </w:p>
    <w:p>
      <w:pPr>
        <w:spacing w:line="240" w:lineRule="auto" w:after="120"/>
        <w:ind w:firstLine="0" w:left="0" w:right="0"/>
        <w:jc w:val="both"/>
      </w:pPr>
      <w:r>
        <w:rPr>
          <w:rFonts w:ascii="Merriweather Sans Light" w:hAnsi="Merriweather Sans Light"/>
          <w:sz w:val="24"/>
        </w:rPr>
        <w:t>2. O Estado Parte que desejar se desvincular do presente Acordo</w:t>
      </w:r>
    </w:p>
    <w:p>
      <w:pPr>
        <w:spacing w:line="240" w:lineRule="auto" w:after="120"/>
        <w:ind w:firstLine="0" w:left="0" w:right="0"/>
        <w:jc w:val="both"/>
      </w:pPr>
      <w:r>
        <w:rPr>
          <w:rFonts w:ascii="Merriweather Sans Light" w:hAnsi="Merriweather Sans Light"/>
          <w:sz w:val="24"/>
        </w:rPr>
        <w:t>poderá denunciá-lo ao qualquer momento pela via diplomática, notificando disso ao Depositário, que o comunicará aos demais Estados Partes. Neste caso, não serão afetados os direitos adquiridos em virtude deste Acordo.</w:t>
      </w:r>
    </w:p>
    <w:p>
      <w:pPr>
        <w:spacing w:line="240" w:lineRule="auto" w:after="120"/>
        <w:ind w:firstLine="0" w:left="0" w:right="0"/>
        <w:jc w:val="both"/>
      </w:pPr>
      <w:r>
        <w:rPr>
          <w:rFonts w:ascii="Merriweather Sans Light" w:hAnsi="Merriweather Sans Light"/>
          <w:sz w:val="24"/>
        </w:rPr>
        <w:t>3. O Estados Partes regulamentarão, de comum acordo, as situações</w:t>
      </w:r>
    </w:p>
    <w:p>
      <w:pPr>
        <w:spacing w:line="240" w:lineRule="auto" w:after="120"/>
        <w:ind w:firstLine="0" w:left="0" w:right="0"/>
        <w:jc w:val="both"/>
      </w:pPr>
      <w:r>
        <w:rPr>
          <w:rFonts w:ascii="Merriweather Sans Light" w:hAnsi="Merriweather Sans Light"/>
          <w:sz w:val="24"/>
        </w:rPr>
        <w:t>decorrentes da denúncia do presente Acordo.</w:t>
      </w:r>
    </w:p>
    <w:p>
      <w:pPr>
        <w:spacing w:line="240" w:lineRule="auto" w:after="120"/>
        <w:ind w:firstLine="0" w:left="0" w:right="0"/>
        <w:jc w:val="both"/>
      </w:pPr>
      <w:r>
        <w:rPr>
          <w:rFonts w:ascii="Merriweather Sans Light" w:hAnsi="Merriweather Sans Light"/>
          <w:sz w:val="24"/>
        </w:rPr>
        <w:t>4. A denúncia surtirá efeito 6 meses depois da data de notificação.</w:t>
      </w:r>
    </w:p>
    <w:p>
      <w:pPr>
        <w:spacing w:line="240" w:lineRule="auto" w:after="120" w:before="240"/>
        <w:ind w:firstLine="0" w:left="0" w:right="0"/>
        <w:jc w:val="center"/>
      </w:pPr>
      <w:r>
        <w:rPr>
          <w:rFonts w:ascii="Merriweather Sans Light" w:hAnsi="Merriweather Sans Light"/>
          <w:b/>
          <w:sz w:val="24"/>
        </w:rPr>
        <w:t>ARTIGO 19</w:t>
      </w:r>
    </w:p>
    <w:p>
      <w:pPr>
        <w:spacing w:line="240" w:lineRule="auto" w:after="120"/>
        <w:ind w:firstLine="0" w:left="0" w:right="0"/>
        <w:jc w:val="both"/>
      </w:pPr>
      <w:r>
        <w:rPr>
          <w:rFonts w:ascii="Merriweather Sans Light" w:hAnsi="Merriweather Sans Light"/>
          <w:sz w:val="24"/>
        </w:rPr>
        <w:t>O presente Acordo estará aberto à adesão, mediante negociação, a aquele Estado que no futuro adiram ao Tratado de Assunção. Feito em Montevidéu, em 15 de dezembro de 1997, em um original, nos idiomas português e espanhol, sendo ambos igualmente autênticos.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