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AJUSTE ADMINISTRATIVO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PARA A APLICAÇÃO DO ACORDO DE PREVIDÊNCIA SOCIAL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ENTRE A REPÚBLICA FEDERATIVA DO BRASIL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E A REPÚBLICA DA ÍNDIA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Nos termos do Artigo 23, do Acordo de Previdência Social entre a República Federativa do Brasil e a República da Índia, assinado em Nova Délhi, em 25 de janeiro de 2020, as Autoridades Competentes dos dois países estabelecem, de comum acordo, as seguintes disposições: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Disposições Gerais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Definições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Para a aplicação do presente Ajuste Administrativo: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O termo “Acordo” designa o Acordo sobre Previdência Social entre a República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Federativa do Brasil e a República da Índia, assinado em Nova Délhi;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O termo “Ajuste” designa o presente Ajuste Administrativo.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Os termos utilizados no presente Ajuste terão o significado que lhes foi atribuído no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1º do Acordo.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Autoridades e instituições competentes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As autoridades e as instituições competente de ambas as partes contratantes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adotarão, de comum acordo, os procedimentos comuns e os formulários necessários para a aplicação do Acordo e do presente Ajuste.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Para a aplicação das legislações mencionadas no Artigo 2 do Acordo, são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designadas como Instituições Competentes: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Para a República Federativa do Brasil: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i. o Instituto Nacional do Seguro Social (INSS) e ii. a unidade gestora, em relação aos Regimes Próprios de Previdência Social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(RPPS).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Para a República da Índia: a “Employees Provident Fund Organisation (EPFO)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ou outra(s) Organização(ões) que seja(m) previamente notificada(s) à Parte Contratante.”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3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Organismos de Ligação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Conforme o Artigo 1, Parágrafo 1º, alínea "d" do Acordo, são designados como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Organismos de Ligação: a. Para a República Federativa do Brasil: a unidade designada pelo Instituto Nacional do Seguro Social (INSS), a qual será responsável pela execução das atividades referentes às prestações no Acordo. b. Para a República da Índia: a sede da “Employees’ Provident Fund Organisation” em Nova Délhi.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Para a aplicação do Acordo, os organismos de ligação designados no parágrafo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 poderão se comunicar diretamente entre si, bem como com as pessoas interessadas ou seus representantes.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II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Disposições referentes à Legislação Aplicável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4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Certificado de cobertura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Nos casos previstos no Artigo 11 do Acordo, a Instituição Competente da Parte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Contratante, cuja legislação é aplicável, emitirá para o trabalhador, a pedido do empregador, um certificado atestando que o trabalhador continua sujeito à legislação dessa Parte Contratante. O certificado indicará o período do deslocamento ou do trabalho temporário no território da outra Parte Contratante.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O certificado mencionado no parágrafo 1 será emitido: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a. Para a República Federativa do Brasil: pela unidade designada pelo Instituto Nacional do Seguro Social (INSS). b. Para a República da Índia: pela “Employees Provident Fund Organisation”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(EPFO).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O período de deslocamento ou do trabalho temporário poderá ser utilizado de forma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fracionada. Assim, um novo Certificado pode ser emitido sem a necessidade de consulta à Autoridade Competente do outro Estado Contratante, desde que o novo período de deslocamento esteja dentro dos 36 meses previstos no Artigo 11 do Acordo.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A Instituição Competente, a qual emitiu o certificado mencionado nos parágrafos 1 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3, deverá fornecer um exemplar ao trabalhador e ao empregador, sendo desejável enviar também uma cópia à Instituição Competente da outra Parte Contratante. Os trabalhadores deverão conservar o certificado, durante sua permanência no território da outra Parte Contratante, e apresentá-lo, se necessário, à Instância Competente dessa Parte Contratante.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5. Em caso de cessação antecipada do período do deslocamento ou da atividade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temporária inicialmente prevista, o trabalhador ou o empregador deverá notificar à Instituição Competente da Parte Contratante que emitiu o certificado, a fim de que esta última informe à Instituição Competente da outra Parte Contratante.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6. Na hipótese prevista no parágrafo 3º do Artigo 11 do Acordo, o empregador ou 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trabalhador solicitará à Instituição Competente da Parte Contratante, a qual emitiu o certificado de deslocamento inicial, a prorrogação do período inicialmente autorizado antes da sua expiração. A Instituição Competente da Parte Contratante demandada consultará à Instituição Competente da outra Parte para a obtenção da concordância da prorrogação solicitada. O requerente deverá ser informado da decisão e, se a prorrogação for autorizada, será emitido um certificado relativo ao novo período.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III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Disposições sobre benefícios de velhice, invalidez e sobrevivência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5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Totalização dos períodos de cobertura Para a aplicação do Artigo 14 do Acordo, nos casos em que, para a aquisição, a manutenção ou a recuperação do direito aos benefícios, seja necessário considerar os períodos de cobertura cumpridos segundo a legislação da outra Parte Contratante, a Instituição Competente da outra Parte Contratante deverá atestar, em formulário específico e negociado entre as Partes, os períodos de cobertura cumpridos conforme a legislação aplicável.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6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Instrução de requerimentos de benefício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Para fazer jus aos benefícios previstos no Artigo 2 do Acordo, o requerente deverá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apresentar uma solicitação à Instituição Competente da Parte Contratante do território em que reside.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Se, no momento da entrada da solicitação, o período de cobertura elegível não tiver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sido cumprido, de acordo com a legislação da Parte Contratante do território em que o requerente reside, a Instituição Competente deverá enviar a solicitação, sem demora, à Instituição Competente da outra Parte Contratante, seja diretamente, seja por intermédio dos organismos de ligação.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As instituições competentes das Partes Contratantes enviarão, sem demora,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diretamente ou por meio dos organismos de ligação, os requerimentos, assim como qualquer outro documento disponível que possa ser necessário para a instrução da solicitação, por meio de formulários concebidos para esse fim, em Português, Inglês e Hindi. Cada Instituição Competente também deverá enviar um formulário atestando os períodos de cobertura cumpridos conforme sua legislação, bem como informações sobre direito a benefícios, à instituição competente da outra Parte Contratante.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Em caso de solicitação de benefícios que necessitem de exames médicos, cada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Instituição Competente enviará o formulário médico, anexando os dados e exames médicos disponíveis, para a outra Parte Contratante.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5. A instituição competente ou organismo de ligação de uma Parte Contratante que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receber um requerimento de benefício baseado na legislação da outra Parte Contratante deverá, sem demora: a. Carimbar o requerimento com a data de recebimento; b. Verificar a identidade do requerente de acordo com as práticas administrativas da Parte Contratante em questão; c. Validar a autenticidade das informações pessoais contidas no requerimento de acordo com os registros oficiais dessa Parte Contratante ou com base em documentos originais fornecidos pelo requerente; d. Verificar se o requerimento está completo e, caso não esteja, providenciar a obtenção dos detalhes ausentes; e e. Sempre que necessário, fazer cópias certificadas da documentação original que suporta o requerimento.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6. O organismo de ligação da Parte Contratante que receber um requerimento 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benefício baseado na legislação deverá, sem demora: a. Registrar o recebimento do requerimento; b. Preencher um formulário de ligação sobre o requerimento indicando os períodos certificados de cobertura conforme sua legislação e os períodos de cobertura na outra Parte Contratante, conforme declarado pelo requerente; e c. Enviar: (i) no caso de um requerimento de benefícios indianos, o formulário de requerimento original ou cópias certificadas dos documentos necessários para estabelecer o requerimento e o formulário de ligação para o organismo de ligação indiano; e (ii) no caso de um requerimento de benefícios brasileiros, o formulário de requerimento original, as cópias certificadas dos documentos necessários para estabelecer o requerimento e o formulário de ligação para o organismo de ligação brasileiro.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7. A instituição competente ou organismo de ligação que determina um requerimento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processado de acordo com o Parágrafo 5 deste Artigo deverá, sem demora, enviar o formulário de ligação para o organismo de ligação da outra Parte Contratante, indicando: a. O resultado da determinação; b. Qualquer outra informação, conforme determinado mutuamente; e c. Sempre que relevante, a forma e os limites de recursos de acordo com a legislação daquela Parte Contratante.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7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Notificação de decisões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Cada instituição competente deverá determinar os direitos do requerente por força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das disposições da Parte II do Acordo e notificar ao interessado a decisão, com indicação dos meios e prazos de recursos, enviando também uma cópia à Instituição Competente da outra Parte Contratante.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As instituições competentes e os organismos de ligação cooperarão mutuamente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com vistas a processar em tempo hábil os requerimentos de acordo com este Ajuste.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As instituições competentes e os organismos de ligação de ambas as Partes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Contratantes realizarão, por acordo mútuo, quaisquer medidas que julguem necessárias e apropriadas para melhorar as operações deste Ajuste.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As instituições competentes deverão comunicar-se entre si sobre todas as medidas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tomadas e as informações necessárias para a implementação do Acordo e do Ajuste ou, ainda, sobre alterações em suas respectivas legislações que possam afetar tal aplicação.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IV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Disposições Diversas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8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Troca de Informações de caráter médico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A Parte Contratante onde foi realizado o exame médico, de acordo com a legislação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dessa Parte Contratante, enviará à outra Parte contratante toda informação médica e toda documentação disponível relativa à condição de incapacidade do requerente ou do beneficiário.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O exame médico dos requerentes ou beneficiários do benefício de uma das Partes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Contratantes, os quais sejam residentes do território da outra Parte Contratante, será efetuado, a pedido da instituição competente, pelo conselho médico/instituição apropriada do local de residência.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Os serviços previstos nos dois parágrafos anteriores são gratuitos.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Se a Instituição Competente julgar necessário, ela poderá pedir exames médicos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complementares. Os custos desses exames complementares serão reembolsados pela instituição competente que os solicitou.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5. Os custos de um exame médico e da produção do relatório, conforme o Parágrafo 4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deste Artigo, serão cobertos pela instituição competente solicitante.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6. Depois da apresentação de uma declaração detalhada dos custos incorridos como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resultado da aplicação do parágrafo 4 deste artigo, a instituição competente ou organismo de ligação da primeira Parte Contratante reembolsará os montantes devidos à instituição competente da outra Parte Contratante dentro de 180 dias.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9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Pagamentos de benefícios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Os benefícios a cargo da instituição competente de uma das Partes Contratantes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serão pagos diretamente ao beneficiário residente no território da outra Parte Contratante ou, conforme o caso, ao respectivo representante legal, nos prazos previstos na legislação aplicada pela instituição competente.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As prestações devidas por força do Acordo poderão ser pagas ao beneficiário que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resida em outro país, nas mesmas condições que a instituição competente paga seus beneficiários.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O pagamento será feito conforme o Artigo 20 do Acordo, sem qualquer dedução 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despesas administrativas que possam ocorrer pelo pagamento de um benefício. Contudo, as despesas bancárias da conta do beneficiário ficarão a seu cargo.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Os beneficiários são obrigados a apresentar à instituição competente que paga 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benefício, seja diretamente, seja por intermédio dos organismos de ligação, a cada doze meses, um atestado de vida emitido de acordo com a legislação das Partes Contratantes.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10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Informações bancárias Os beneficiários e as instituições competentes deverão comunicar à instituição competente que faz os pagamentos relacionadas as informações bancárias relevantes, segundo as normas internacionais.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11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Estatísticas As Instituições Competentes trocarão estatísticas anuais sobre o número de certificados de cobertura emitidos com base no parágrafo 1 do artigo 13 e sobre os benefícios pagos na outra Parte Contratante e seus respectivos valores.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12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Troca de informações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Pessoas com direito a prestações concedidas nos termos da legislação de uma das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Partes Contratantes e que residam no território da outra Parte Contratante informarão à instituição competente, seja diretamente, seja por intermédio dos organismos de ligação, sobre toda mudança relativa à sua situação pessoal ou familiar, seu estado de saúde, sua capacidade de trabalho, suas rendas, bem como qualquer outra circunstância suscetível de influenciar seus direitos e obrigações previstas nas legislações mencionadas no Artigo 2 e demais disposições do Acordo.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As instituições competentes trocarão, diretamente ou por intermédio dos organismos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 ligação, todas as informações disponíveis, conforme descrito no parágrafo anterior.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As informações e documentos devem ser transferidos entre as instituições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competentes ou organismos de ligação preferencialmente por via eletrônica. Nesse caso, serão considerados equivalentes a informações e documentos em papel e não necessitarão de autorização adicional.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As informações e documentos assim transmitidos constituem prova nos processos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previdenciários realizados no âmbito material deste Acordo.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5. A transferência eletrônica de informações refere-se à transferência em casos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individuais, bem como à transferência em massa de informações referentes a mais de uma pessoa incluída no escopo do Acordo.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13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Confidencialidade de dados de dados pessoais Todas as informações, as quais se faz referência no presente Ajuste, somente poderão ser utilizadas no âmbito de aplicação do Acordo e em conformidade com a legislação relativa ao sigilo de dados de caráter pessoal da Parte Contratante em questão.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14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Entrada em vigor e duração O presente Ajuste entrará em vigor na mesma data do Acordo e terá a mesma duração.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Feito em Brasília, em 20 de julho de 2022, em três originais, nos idiomas inglês, hindi e português, sendo todos os textos igualmente autênticos.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