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 AJUSTE ADMINISTRATIVO ACIDENTES ===</w:t>
      </w:r>
    </w:p>
    <w:p>
      <w:pPr>
        <w:spacing w:line="240" w:lineRule="auto" w:after="120" w:before="240"/>
        <w:ind w:firstLine="0" w:left="0" w:right="0"/>
        <w:jc w:val="center"/>
      </w:pPr>
      <w:r>
        <w:rPr>
          <w:rFonts w:ascii="Merriweather Sans Light" w:hAnsi="Merriweather Sans Light"/>
          <w:b/>
          <w:sz w:val="24"/>
        </w:rPr>
        <w:t>AJUSTE ADMINISTRATIVO PARA EXECUÇÃO DO ACORDO DE PREVIDÊNCIA</w:t>
      </w:r>
    </w:p>
    <w:p>
      <w:pPr>
        <w:spacing w:line="240" w:lineRule="auto" w:after="120" w:before="240"/>
        <w:ind w:firstLine="0" w:left="0" w:right="0"/>
        <w:jc w:val="center"/>
      </w:pPr>
      <w:r>
        <w:rPr>
          <w:rFonts w:ascii="Merriweather Sans Light" w:hAnsi="Merriweather Sans Light"/>
          <w:b/>
          <w:sz w:val="24"/>
        </w:rPr>
        <w:t>SOCIAL ENTRE A REPÚBLICA FEDERATIVA DO BRASIL E A REPÚBLICA</w:t>
      </w:r>
    </w:p>
    <w:p>
      <w:pPr>
        <w:spacing w:line="240" w:lineRule="auto" w:after="120" w:before="240"/>
        <w:ind w:firstLine="0" w:left="0" w:right="0"/>
        <w:jc w:val="center"/>
      </w:pPr>
      <w:r>
        <w:rPr>
          <w:rFonts w:ascii="Merriweather Sans Light" w:hAnsi="Merriweather Sans Light"/>
          <w:b/>
          <w:sz w:val="24"/>
        </w:rPr>
        <w:t>FEDERAL DA ALEMANHA DE 03 DE DEZEMBRO DE 2009 PARA A ÁREA</w:t>
      </w:r>
    </w:p>
    <w:p>
      <w:pPr>
        <w:spacing w:line="240" w:lineRule="auto" w:after="120" w:before="240"/>
        <w:ind w:firstLine="0" w:left="0" w:right="0"/>
        <w:jc w:val="center"/>
      </w:pPr>
      <w:r>
        <w:rPr>
          <w:rFonts w:ascii="Merriweather Sans Light" w:hAnsi="Merriweather Sans Light"/>
          <w:b/>
          <w:sz w:val="24"/>
        </w:rPr>
        <w:t>DE SEGURO OBRIGATÓRIO DE ACIDENTES</w:t>
      </w:r>
    </w:p>
    <w:p>
      <w:pPr>
        <w:spacing w:line="240" w:lineRule="auto" w:after="120"/>
        <w:ind w:firstLine="0" w:left="0" w:right="0"/>
        <w:jc w:val="both"/>
      </w:pPr>
      <w:r>
        <w:rPr>
          <w:rFonts w:ascii="Merriweather Sans Light" w:hAnsi="Merriweather Sans Light"/>
          <w:sz w:val="24"/>
        </w:rPr>
        <w:t>O Ministério da Previdência Social e o Instituto Nacional do Seguro Social e A Deutsche Verbindungsstelle Unfallversicherung - Ausland, junto à Deutsche Gesetzliche Unfallversicherung e.V. Ajustam para execução do Acordo de Previdência Social entre a República Federativa do Brasil e a República Federal da Alemanha de 03 de dezembro de 2009, doravante denominado Acordo, com base no seu artigo 19, parágrafo 2 e 5, o seguinte:</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 Nas disposições a seguir os termos contidos no Acordo serão usados com o significado definido no Artigo 1 do mesmo.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Certificado sobre os regulamentos legais aplicáveis O certificado emitido conforme Art. 4 do Convênio de Execução do Acordo será emitido na Alemanha, pela instituição do seguro-saúde à qual são recolhidas as contribuições ao seguro previdenciário ou pela Deutsche Rentenversicherung Bund, Berlim, nos casos previstos no Art. 7 do Acordo e pelo Spitzenverband Bund der Krankenkassen, Deutsche Verbindungsstelle Krankenversicherung – Ausland, Bonn (Confederação Nacional dos Seguros-Saúde, Organismo de Ligação Internacional, Bonn), nos casos referidos no Art. 9 do Acordo. Esse certificado tem a denominação de Certificado sobre Aplicação da Legislação Alemã em caso de deslocamento para o Brasil BR/DE 101. O certificado a ser emitido no Brasil, pelo Instituto Nacional do Seguro Social, em Brasília, ou por uma instituição indicada por ele tem a denominação de Certificado sobre Aplicação da Legislação Brasileira em caso de deslocamento para a Alemanha DE/BR 101.</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Organismos de Ligação (1) Organismos de Ligação para a área de seguro de acidentes são os determinados conforme Art. 19 parágrafo 2 do Acordo. No lado alemão: A Deutsche Verbindungsstelle Unfallversicherung - Ausland, junto à Deutsche Gesetzliche Unfallversicherung e.V., Glinkastrasse 40 10117 Berlin No lado brasileiro: O Instituto Nacional do Seguro Social Diretoria de Benefícios Setor de Autarquias Sul Quadra 2 Bloco O,</w:t>
      </w:r>
    </w:p>
    <w:p>
      <w:pPr>
        <w:spacing w:line="240" w:lineRule="auto" w:after="120" w:before="240"/>
        <w:ind w:firstLine="0" w:left="0" w:right="0"/>
        <w:jc w:val="center"/>
      </w:pPr>
      <w:r>
        <w:rPr>
          <w:rFonts w:ascii="Merriweather Sans Light" w:hAnsi="Merriweather Sans Light"/>
          <w:b/>
          <w:sz w:val="24"/>
        </w:rPr>
        <w:t>CEP 70.070.946,</w:t>
      </w:r>
    </w:p>
    <w:p>
      <w:pPr>
        <w:spacing w:line="240" w:lineRule="auto" w:after="120"/>
        <w:ind w:firstLine="0" w:left="0" w:right="0"/>
        <w:jc w:val="both"/>
      </w:pPr>
      <w:r>
        <w:rPr>
          <w:rFonts w:ascii="Merriweather Sans Light" w:hAnsi="Merriweather Sans Light"/>
          <w:sz w:val="24"/>
        </w:rPr>
        <w:t>Brasília-DF. (2) Os organismos de ligação mantêm os contatos necessários à execução do Acordo, do Convênio de Execução do Acordo e deste Ajuste Administrativo, decidindo no âmbito de suas competências sobre as questões legais e processuais de cooperação intergovernamental e coordenando entre si as ações com o objetivo de obter consenso entre as Partes. Reuniões em conjunto serão realizadas conforme necessário. (3) Os organismos de ligação deverão garantir, por meio de cooperação eficaz e estreita, caracterizada pela confiança mútua, que as pessoas envolvidas possam exercer seus direitos da melhor forma e mais ágil possível. (4) Os organismos de ligação devem informar-se mutuamente, além do previsto no § 1 do Artigo 19 do Acordo, sobre alterações e aditamentos em sua legislação conforme o disposto no § 1 do Artigo 2 do Acordo. (5) A formulação de consultas fundamentais e a correspondência relacionada estarão a cargo dos Organismos de Ligação referidos no § 1. (6) O tratamento de casos específicos e a correspondência relacionada estarão a cargo: Pelo lado alemão: Deutsche Verbindungsstelle Unfallversicherung - Ausland, Berufsgenossenschaft Nahrungsmittel und Gastgewerbe Dynamostrasse 7-11 68165 Mannheim Pelo lado brasileiro: Instituto Nacional do Seguro Social – INSS Agência da Previdência Social de Atendimentos de Acordos Internacionais Florianópolis Rua Felipe Schmidt, 331, 4º andar, Centro, Florianópolis, Santa Catarina, CEP 88.133-810.</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Entrega de Requerimentos (1) Requerimentos relativos a aposentadorias e outras prestações pecuniárias em casos de acidentes de trabalho e doenças ocupacionais, conforme Artigo 17 do Acordo, serão encaminhados imediatamente pelas instituições onde foram entregues, por intermédio dos Organismos de Ligação, para as Instituições Competentes da outra Parte. Todos os documentos existentes, especialmente os relatórios médicos, laudos médicos e/ou certificados, devem ser anexados. (2) A instituição que recebeu o requerimento transmitirá, quando solicitada, sem demora, à instituição competente no outro país, através dos Organismos de Ligação, informações adicionais necessárias para processamento do requerimento. (3) Se a instituição competente julgar necessário exame médico ou avaliação médica, esta será solicitada, por intermédio dos Organismos de Ligação para o Organismo de Ligação do país no qual a pessoa titular do direito resida habitualmente.</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Exames Médicos (1) Os exames médicos conforme o Artigo 14, § 2 do Acordo incluem também exames para o reconhecimento inicial do direito e reexame para a manutenção das prestações. (2) A pedido das Instituições Competentes, exames médicos na outra Parte são realizados por intermediação dos Organismos de Ligação. Para a elaboração de laudos médicos para determinar ou alterar as fórmulas de cálculo das prestações é necessário, se um pedido for feito pelo lado alemão, utilizar os formulários Laudo de Aposentadoria BR/DE-U3 ou Laudo de Aposentadoria para Verificação BR/DE-U4. O formulário a ser utilizado para pedidos correspondentes do lado brasileiro tem a denominação de Relatório Médico DE/BR 003. (3) Para reembolso das despesas de que trata o Artigo 14, § 2º do Acordo, respeitada a legislação de cada Parte, deverão ser utilizados os formulários: Fatura de Custos BR/DE 125 e DE/BR 125. (4) Os custos deverão ser reembolsados conforme Artigo 14, § 2º do Acordo. A Instituição Competente que realizou os exames calcula, semestralmente, os respectivos custos, conforme a sua legislação e transmite à Instituição solicitante uma fatura detalhada para cada caso individual. A Instituição solicitante reembolsa em seguida em 90 dias após o recebimento do requerimento do reembolso.</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Troca de informações e assistência administrativa em casos individuais (1) As instituições competentes das Partes informam-se mutuamente, em casos individuais por solicitações, por intermédio dos Organismos de Ligação, sobre todos os fatos relevantes e suas decisões, com base nos seguintes artigos:</w:t>
      </w:r>
    </w:p>
    <w:p>
      <w:pPr>
        <w:spacing w:line="240" w:lineRule="auto" w:after="120"/>
        <w:ind w:firstLine="0" w:left="0" w:right="0"/>
        <w:jc w:val="both"/>
      </w:pPr>
      <w:r>
        <w:rPr>
          <w:rFonts w:ascii="Merriweather Sans Light" w:hAnsi="Merriweather Sans Light"/>
          <w:sz w:val="24"/>
        </w:rPr>
        <w:t>a) Artigo 10, Parágrafo 1 do Acordo;</w:t>
      </w:r>
    </w:p>
    <w:p>
      <w:pPr>
        <w:spacing w:line="240" w:lineRule="auto" w:after="120"/>
        <w:ind w:firstLine="0" w:left="0" w:right="0"/>
        <w:jc w:val="both"/>
      </w:pPr>
      <w:r>
        <w:rPr>
          <w:rFonts w:ascii="Merriweather Sans Light" w:hAnsi="Merriweather Sans Light"/>
          <w:sz w:val="24"/>
        </w:rPr>
        <w:t>b) Artigo 14, Parágrafo 1 do Acordo nos casos em que haja direito à prestação</w:t>
      </w:r>
    </w:p>
    <w:p>
      <w:pPr>
        <w:spacing w:line="240" w:lineRule="auto" w:after="120"/>
        <w:ind w:firstLine="0" w:left="0" w:right="0"/>
        <w:jc w:val="both"/>
      </w:pPr>
      <w:r>
        <w:rPr>
          <w:rFonts w:ascii="Merriweather Sans Light" w:hAnsi="Merriweather Sans Light"/>
          <w:sz w:val="24"/>
        </w:rPr>
        <w:t>ou necessidade de ajuda para a execução do Acordo, em ambas as Partes;</w:t>
      </w:r>
    </w:p>
    <w:p>
      <w:pPr>
        <w:spacing w:line="240" w:lineRule="auto" w:after="120"/>
        <w:ind w:firstLine="0" w:left="0" w:right="0"/>
        <w:jc w:val="both"/>
      </w:pPr>
      <w:r>
        <w:rPr>
          <w:rFonts w:ascii="Merriweather Sans Light" w:hAnsi="Merriweather Sans Light"/>
          <w:sz w:val="24"/>
        </w:rPr>
        <w:t>c) Artigo 21 do Acordo em casos de reembolsos.</w:t>
      </w:r>
    </w:p>
    <w:p>
      <w:pPr>
        <w:spacing w:line="240" w:lineRule="auto" w:after="120"/>
        <w:ind w:firstLine="0" w:left="0" w:right="0"/>
        <w:jc w:val="both"/>
      </w:pPr>
      <w:r>
        <w:rPr>
          <w:rFonts w:ascii="Merriweather Sans Light" w:hAnsi="Merriweather Sans Light"/>
          <w:sz w:val="24"/>
        </w:rPr>
        <w:t>Da mesma forma deve ser observado o Artigo 3, parágrafo 1 do Convênio de Execução do Acordo. As informações serão transmitidas utilizando-se o formulário Comunicação BR/DE 001 ou DE/BR 001. Havendo decisões, cópias serão anexadas. (2) Relativamente ao parágrafo 1, caso seja possível, as informações trocadas, dentre outras, são as seguintes:</w:t>
      </w:r>
    </w:p>
    <w:p>
      <w:pPr>
        <w:spacing w:line="240" w:lineRule="auto" w:after="120"/>
        <w:ind w:firstLine="0" w:left="0" w:right="0"/>
        <w:jc w:val="both"/>
      </w:pPr>
      <w:r>
        <w:rPr>
          <w:rFonts w:ascii="Merriweather Sans Light" w:hAnsi="Merriweather Sans Light"/>
          <w:sz w:val="24"/>
        </w:rPr>
        <w:t>a) grau de incapacidade laborativa de eventos a serem considerados;</w:t>
      </w:r>
    </w:p>
    <w:p>
      <w:pPr>
        <w:spacing w:line="240" w:lineRule="auto" w:after="120"/>
        <w:ind w:firstLine="0" w:left="0" w:right="0"/>
        <w:jc w:val="both"/>
      </w:pPr>
      <w:r>
        <w:rPr>
          <w:rFonts w:ascii="Merriweather Sans Light" w:hAnsi="Merriweather Sans Light"/>
          <w:sz w:val="24"/>
        </w:rPr>
        <w:t>b) início/fim ou o período da incapacidade laborativa;</w:t>
      </w:r>
    </w:p>
    <w:p>
      <w:pPr>
        <w:spacing w:line="240" w:lineRule="auto" w:after="120"/>
        <w:ind w:firstLine="0" w:left="0" w:right="0"/>
        <w:jc w:val="both"/>
      </w:pPr>
      <w:r>
        <w:rPr>
          <w:rFonts w:ascii="Merriweather Sans Light" w:hAnsi="Merriweather Sans Light"/>
          <w:sz w:val="24"/>
        </w:rPr>
        <w:t>c) transferência de residência habitual de uma pessoa, com direitos à prestação,</w:t>
      </w:r>
    </w:p>
    <w:p>
      <w:pPr>
        <w:spacing w:line="240" w:lineRule="auto" w:after="120"/>
        <w:ind w:firstLine="0" w:left="0" w:right="0"/>
        <w:jc w:val="both"/>
      </w:pPr>
      <w:r>
        <w:rPr>
          <w:rFonts w:ascii="Merriweather Sans Light" w:hAnsi="Merriweather Sans Light"/>
          <w:sz w:val="24"/>
        </w:rPr>
        <w:t>para a outra Parte ou para um terceiro país;</w:t>
      </w:r>
    </w:p>
    <w:p>
      <w:pPr>
        <w:spacing w:line="240" w:lineRule="auto" w:after="120"/>
        <w:ind w:firstLine="0" w:left="0" w:right="0"/>
        <w:jc w:val="both"/>
      </w:pPr>
      <w:r>
        <w:rPr>
          <w:rFonts w:ascii="Merriweather Sans Light" w:hAnsi="Merriweather Sans Light"/>
          <w:sz w:val="24"/>
        </w:rPr>
        <w:t>d) alteração do nome ou de endereço do beneficiário;</w:t>
      </w:r>
    </w:p>
    <w:p>
      <w:pPr>
        <w:spacing w:line="240" w:lineRule="auto" w:after="120"/>
        <w:ind w:firstLine="0" w:left="0" w:right="0"/>
        <w:jc w:val="both"/>
      </w:pPr>
      <w:r>
        <w:rPr>
          <w:rFonts w:ascii="Merriweather Sans Light" w:hAnsi="Merriweather Sans Light"/>
          <w:sz w:val="24"/>
        </w:rPr>
        <w:t>e) adoção de outra nacionalidade do beneficiário;</w:t>
      </w:r>
    </w:p>
    <w:p>
      <w:pPr>
        <w:spacing w:line="240" w:lineRule="auto" w:after="120"/>
        <w:ind w:firstLine="0" w:left="0" w:right="0"/>
        <w:jc w:val="both"/>
      </w:pPr>
      <w:r>
        <w:rPr>
          <w:rFonts w:ascii="Merriweather Sans Light" w:hAnsi="Merriweather Sans Light"/>
          <w:sz w:val="24"/>
        </w:rPr>
        <w:t>f) morte do titular do benefício ou do dependente com direito à prestação;</w:t>
      </w:r>
    </w:p>
    <w:p>
      <w:pPr>
        <w:spacing w:line="240" w:lineRule="auto" w:after="120"/>
        <w:ind w:firstLine="0" w:left="0" w:right="0"/>
        <w:jc w:val="both"/>
      </w:pPr>
      <w:r>
        <w:rPr>
          <w:rFonts w:ascii="Merriweather Sans Light" w:hAnsi="Merriweather Sans Light"/>
          <w:sz w:val="24"/>
        </w:rPr>
        <w:t>g) novo casamento de um(a) viúvo(a);</w:t>
      </w:r>
    </w:p>
    <w:p>
      <w:pPr>
        <w:spacing w:line="240" w:lineRule="auto" w:after="120"/>
        <w:ind w:firstLine="0" w:left="0" w:right="0"/>
        <w:jc w:val="both"/>
      </w:pPr>
      <w:r>
        <w:rPr>
          <w:rFonts w:ascii="Merriweather Sans Light" w:hAnsi="Merriweather Sans Light"/>
          <w:sz w:val="24"/>
        </w:rPr>
        <w:t>h) existência de emprego ou atividade por conta própria de um(a) viúvo(a);</w:t>
      </w:r>
    </w:p>
    <w:p>
      <w:pPr>
        <w:spacing w:line="240" w:lineRule="auto" w:after="120"/>
        <w:ind w:firstLine="0" w:left="0" w:right="0"/>
        <w:jc w:val="both"/>
      </w:pPr>
      <w:r>
        <w:rPr>
          <w:rFonts w:ascii="Merriweather Sans Light" w:hAnsi="Merriweather Sans Light"/>
          <w:sz w:val="24"/>
        </w:rPr>
        <w:t>i) conclusão/interrupção da formação escolar, profissional ou universitária de</w:t>
      </w:r>
    </w:p>
    <w:p>
      <w:pPr>
        <w:spacing w:line="240" w:lineRule="auto" w:after="120"/>
        <w:ind w:firstLine="0" w:left="0" w:right="0"/>
        <w:jc w:val="both"/>
      </w:pPr>
      <w:r>
        <w:rPr>
          <w:rFonts w:ascii="Merriweather Sans Light" w:hAnsi="Merriweather Sans Light"/>
          <w:sz w:val="24"/>
        </w:rPr>
        <w:t>dependente maior de idade;</w:t>
      </w:r>
    </w:p>
    <w:p>
      <w:pPr>
        <w:spacing w:line="240" w:lineRule="auto" w:after="120"/>
        <w:ind w:firstLine="0" w:left="0" w:right="0"/>
        <w:jc w:val="both"/>
      </w:pPr>
      <w:r>
        <w:rPr>
          <w:rFonts w:ascii="Merriweather Sans Light" w:hAnsi="Merriweather Sans Light"/>
          <w:sz w:val="24"/>
        </w:rPr>
        <w:t>j) perda da guarda do dependente pelo viúvo(a);</w:t>
      </w:r>
    </w:p>
    <w:p>
      <w:pPr>
        <w:spacing w:line="240" w:lineRule="auto" w:after="120"/>
        <w:ind w:firstLine="0" w:left="0" w:right="0"/>
        <w:jc w:val="both"/>
      </w:pPr>
      <w:r>
        <w:rPr>
          <w:rFonts w:ascii="Merriweather Sans Light" w:hAnsi="Merriweather Sans Light"/>
          <w:sz w:val="24"/>
        </w:rPr>
        <w:t>k) adoção de um(a) filho(a);</w:t>
      </w:r>
    </w:p>
    <w:p>
      <w:pPr>
        <w:spacing w:line="240" w:lineRule="auto" w:after="120"/>
        <w:ind w:firstLine="0" w:left="0" w:right="0"/>
        <w:jc w:val="both"/>
      </w:pPr>
      <w:r>
        <w:rPr>
          <w:rFonts w:ascii="Merriweather Sans Light" w:hAnsi="Merriweather Sans Light"/>
          <w:sz w:val="24"/>
        </w:rPr>
        <w:t>l) cessação da aposentadoria ou prestação pecuniária;</w:t>
      </w:r>
    </w:p>
    <w:p>
      <w:pPr>
        <w:spacing w:line="240" w:lineRule="auto" w:after="120"/>
        <w:ind w:firstLine="0" w:left="0" w:right="0"/>
        <w:jc w:val="both"/>
      </w:pPr>
      <w:r>
        <w:rPr>
          <w:rFonts w:ascii="Merriweather Sans Light" w:hAnsi="Merriweather Sans Light"/>
          <w:sz w:val="24"/>
        </w:rPr>
        <w:t>m) alteração do valor da aposentadoria ou prestação pecuniária.</w:t>
      </w:r>
    </w:p>
    <w:p>
      <w:pPr>
        <w:spacing w:line="240" w:lineRule="auto" w:after="120"/>
        <w:ind w:firstLine="0" w:left="0" w:right="0"/>
        <w:jc w:val="both"/>
      </w:pPr>
      <w:r>
        <w:rPr>
          <w:rFonts w:ascii="Merriweather Sans Light" w:hAnsi="Merriweather Sans Light"/>
          <w:sz w:val="24"/>
        </w:rPr>
        <w:t>(3) A pedido da instituição competente, os Organismos de Ligação fornecem, na medida permitida por sua legislação nacional, informações relacionadas às investigações de um acidente de trabalho ou doença ocupacional e às prestações ou contribuições devidas, tais como:</w:t>
      </w:r>
    </w:p>
    <w:p>
      <w:pPr>
        <w:spacing w:line="240" w:lineRule="auto" w:after="120"/>
        <w:ind w:firstLine="0" w:left="0" w:right="0"/>
        <w:jc w:val="both"/>
      </w:pPr>
      <w:r>
        <w:rPr>
          <w:rFonts w:ascii="Merriweather Sans Light" w:hAnsi="Merriweather Sans Light"/>
          <w:sz w:val="24"/>
        </w:rPr>
        <w:t>a) data/horário e descrição do acidente;</w:t>
      </w:r>
    </w:p>
    <w:p>
      <w:pPr>
        <w:spacing w:line="240" w:lineRule="auto" w:after="120"/>
        <w:ind w:firstLine="0" w:left="0" w:right="0"/>
        <w:jc w:val="both"/>
      </w:pPr>
      <w:r>
        <w:rPr>
          <w:rFonts w:ascii="Merriweather Sans Light" w:hAnsi="Merriweather Sans Light"/>
          <w:sz w:val="24"/>
        </w:rPr>
        <w:t>b) consequências do acidente;</w:t>
      </w:r>
    </w:p>
    <w:p>
      <w:pPr>
        <w:spacing w:line="240" w:lineRule="auto" w:after="120"/>
        <w:ind w:firstLine="0" w:left="0" w:right="0"/>
        <w:jc w:val="both"/>
      </w:pPr>
      <w:r>
        <w:rPr>
          <w:rFonts w:ascii="Merriweather Sans Light" w:hAnsi="Merriweather Sans Light"/>
          <w:sz w:val="24"/>
        </w:rPr>
        <w:t>c) nomes e endereços de testemunhas;</w:t>
      </w:r>
    </w:p>
    <w:p>
      <w:pPr>
        <w:spacing w:line="240" w:lineRule="auto" w:after="120"/>
        <w:ind w:firstLine="0" w:left="0" w:right="0"/>
        <w:jc w:val="both"/>
      </w:pPr>
      <w:r>
        <w:rPr>
          <w:rFonts w:ascii="Merriweather Sans Light" w:hAnsi="Merriweather Sans Light"/>
          <w:sz w:val="24"/>
        </w:rPr>
        <w:t>d) doenças anteriores e duração;</w:t>
      </w:r>
    </w:p>
    <w:p>
      <w:pPr>
        <w:spacing w:line="240" w:lineRule="auto" w:after="120"/>
        <w:ind w:firstLine="0" w:left="0" w:right="0"/>
        <w:jc w:val="both"/>
      </w:pPr>
      <w:r>
        <w:rPr>
          <w:rFonts w:ascii="Merriweather Sans Light" w:hAnsi="Merriweather Sans Light"/>
          <w:sz w:val="24"/>
        </w:rPr>
        <w:t>e) empregos anteriores e duração;</w:t>
      </w:r>
    </w:p>
    <w:p>
      <w:pPr>
        <w:spacing w:line="240" w:lineRule="auto" w:after="120"/>
        <w:ind w:firstLine="0" w:left="0" w:right="0"/>
        <w:jc w:val="both"/>
      </w:pPr>
      <w:r>
        <w:rPr>
          <w:rFonts w:ascii="Merriweather Sans Light" w:hAnsi="Merriweather Sans Light"/>
          <w:sz w:val="24"/>
        </w:rPr>
        <w:t>f) ocupações de risco, intensidade do risco e duração;</w:t>
      </w:r>
    </w:p>
    <w:p>
      <w:pPr>
        <w:spacing w:line="240" w:lineRule="auto" w:after="120"/>
        <w:ind w:firstLine="0" w:left="0" w:right="0"/>
        <w:jc w:val="both"/>
      </w:pPr>
      <w:r>
        <w:rPr>
          <w:rFonts w:ascii="Merriweather Sans Light" w:hAnsi="Merriweather Sans Light"/>
          <w:sz w:val="24"/>
        </w:rPr>
        <w:t>g) rendimentos.</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Pagamento de prestações (1) Os pagamentos de aposentadorias e outras prestações pecuniárias serão efetivados diretamente aos beneficiários que se encontram na outra Parte. (2) Os beneficiários de aposentadorias de ambas as Partes e os beneficiários de outras prestações pecuniárias de acordo com a legislação brasileira são obrigados a apresentar anualmente um certificado de vida. (3) Os Organismos de Ligação, a pedido, empenhar-se-ão, a título de cooperação administrativa, prevista no Artigo 14, parágrafo 1 do Acordo, na comunicação aos devedores para restituição dos montantes recebidos, nos casos de pagamento indevido.</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Formulários (1) Os seguintes formulários são parte integrante deste Ajuste Administrativo: BR/DE 001 — Comunicação DE/BR 001 — Comunicação DE/BR 002 — Requerimento BR/DE 125 — Fatura de Custos DE/BR 125 — Fatura de Custos BR/DE U3 — Laudo de Aposentadoria BR/DE U4 — Laudo de Aposentadoria para verificação DE/BR 003 — Relatório Médico (2) Outros formulários podem ser estabelecidos, de comum acordo, por escrito. (3) Os formulários com denominação “BR / DE” deverão ser emitidos na República Federal da Alemanha, os denominados “DE / BR” na República Federativa do Brasil.</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Estatísticas As estatísticas a serem trocadas em conformidade com o Artigo 7 do Convênio de Execução do Acordo, serão apresentadas por escrito, pelos Organismos de Ligação no primeiro semestre seguinte ao ano-base do relatório.</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Entrada em Vigor (1) A entrada em vigor do Ajuste Administrativo ocorrerá na data de sua assinatura e terá idêntica duração do Acordo. (2) De comum acordo, este Ajuste Administrativo pode ser alterado a qualquer momento.</w:t>
      </w:r>
    </w:p>
    <w:p>
      <w:pPr>
        <w:spacing w:line="240" w:lineRule="auto" w:after="120"/>
        <w:ind w:firstLine="0" w:left="0" w:right="0"/>
        <w:jc w:val="both"/>
      </w:pPr>
      <w:r>
        <w:rPr>
          <w:rFonts w:ascii="Merriweather Sans Light" w:hAnsi="Merriweather Sans Light"/>
          <w:b/>
          <w:sz w:val="24"/>
        </w:rPr>
        <w:t>Feito em Berlim em 10 de junho de 2015.</w:t>
      </w:r>
    </w:p>
    <w:p>
      <w:pPr>
        <w:spacing w:line="240" w:lineRule="auto" w:after="120"/>
        <w:ind w:firstLine="0" w:left="0" w:right="0"/>
        <w:jc w:val="both"/>
      </w:pPr>
      <w:r>
        <w:rPr>
          <w:rFonts w:ascii="Merriweather Sans Light" w:hAnsi="Merriweather Sans Light"/>
          <w:sz w:val="24"/>
        </w:rPr>
        <w:t>Em dois originais, nos idiomas português e alemão, sendo ambos os textos igualmente autênticos.</w:t>
      </w:r>
    </w:p>
    <w:p>
      <w:pPr>
        <w:spacing w:line="240" w:lineRule="auto" w:after="120" w:before="240"/>
        <w:ind w:firstLine="0" w:left="0" w:right="0"/>
        <w:jc w:val="center"/>
      </w:pPr>
      <w:r>
        <w:rPr>
          <w:rFonts w:ascii="Merriweather Sans Light" w:hAnsi="Merriweather Sans Light"/>
          <w:b/>
          <w:sz w:val="24"/>
        </w:rPr>
        <w:t>=== AJUSTE ADMINISTRATIVO PREVIDENCIÁRIO ===</w:t>
      </w:r>
    </w:p>
    <w:p>
      <w:pPr>
        <w:spacing w:line="240" w:lineRule="auto" w:after="120" w:before="240"/>
        <w:ind w:firstLine="0" w:left="0" w:right="0"/>
        <w:jc w:val="center"/>
      </w:pPr>
      <w:r>
        <w:rPr>
          <w:rFonts w:ascii="Merriweather Sans Light" w:hAnsi="Merriweather Sans Light"/>
          <w:b/>
          <w:sz w:val="24"/>
        </w:rPr>
        <w:t>AJUSTE ADMINISTRATIVO</w:t>
      </w:r>
    </w:p>
    <w:p>
      <w:pPr>
        <w:spacing w:line="240" w:lineRule="auto" w:after="120"/>
        <w:ind w:firstLine="0" w:left="0" w:right="0"/>
        <w:jc w:val="both"/>
      </w:pPr>
      <w:r>
        <w:rPr>
          <w:rFonts w:ascii="Merriweather Sans Light" w:hAnsi="Merriweather Sans Light"/>
          <w:sz w:val="24"/>
        </w:rPr>
        <w:t>para a execução do Acordo de Previdência Social entre a República Federativa do Brasil e a República Federal da Alemanha Com base no Artigo 19, parágrafo 2, incisos “i” e “iii” da alínea “a” e alínea “b” do Acordo de Previdência Social de 03/12/2009 entre a República Federativa do Brasil e a República Federal da Alemanha (doravante denominado “Acordo”), os respectivos Organismos de Ligação acordam, com base no artigo 19, parágrafo 5 do Acordo e com a participação das autoridades competentes, o seguinte:</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Uso dos termos Neste Ajuste Administrativo, os termos são utilizados conforme definidos no Acordo.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Organismos de Ligação competentes Para aplicação do presente Ajuste Administrativo, são responsáveis as seguintes Instituições:</w:t>
      </w:r>
    </w:p>
    <w:p>
      <w:pPr>
        <w:spacing w:line="240" w:lineRule="auto" w:after="120"/>
        <w:ind w:firstLine="0" w:left="0" w:right="0"/>
        <w:jc w:val="both"/>
      </w:pPr>
      <w:r>
        <w:rPr>
          <w:rFonts w:ascii="Merriweather Sans Light" w:hAnsi="Merriweather Sans Light"/>
          <w:sz w:val="24"/>
        </w:rPr>
        <w:t>a) Na República Federal da Alemanha:</w:t>
      </w:r>
    </w:p>
    <w:p>
      <w:pPr>
        <w:spacing w:line="240" w:lineRule="auto" w:after="120"/>
        <w:ind w:firstLine="0" w:left="0" w:right="0"/>
        <w:jc w:val="both"/>
      </w:pPr>
      <w:r>
        <w:rPr>
          <w:rFonts w:ascii="Merriweather Sans Light" w:hAnsi="Merriweather Sans Light"/>
          <w:sz w:val="24"/>
        </w:rPr>
        <w:t>- a Deutsche Rentenversicherung Nordbayern (Seguro Previdenciário</w:t>
      </w:r>
    </w:p>
    <w:p>
      <w:pPr>
        <w:spacing w:line="240" w:lineRule="auto" w:after="120"/>
        <w:ind w:firstLine="0" w:left="0" w:right="0"/>
        <w:jc w:val="both"/>
      </w:pPr>
      <w:r>
        <w:rPr>
          <w:rFonts w:ascii="Merriweather Sans Light" w:hAnsi="Merriweather Sans Light"/>
          <w:sz w:val="24"/>
        </w:rPr>
        <w:t>Alemão, Gerência da Baviera do Norte), em Bayreuth;</w:t>
      </w:r>
    </w:p>
    <w:p>
      <w:pPr>
        <w:spacing w:line="240" w:lineRule="auto" w:after="120"/>
        <w:ind w:firstLine="0" w:left="0" w:right="0"/>
        <w:jc w:val="both"/>
      </w:pPr>
      <w:r>
        <w:rPr>
          <w:rFonts w:ascii="Merriweather Sans Light" w:hAnsi="Merriweather Sans Light"/>
          <w:sz w:val="24"/>
        </w:rPr>
        <w:t>- a Deutsche Rentenversicherung Bund (Seguro Previdenciário Alemão</w:t>
      </w:r>
    </w:p>
    <w:p>
      <w:pPr>
        <w:spacing w:line="240" w:lineRule="auto" w:after="120"/>
        <w:ind w:firstLine="0" w:left="0" w:right="0"/>
        <w:jc w:val="both"/>
      </w:pPr>
      <w:r>
        <w:rPr>
          <w:rFonts w:ascii="Merriweather Sans Light" w:hAnsi="Merriweather Sans Light"/>
          <w:sz w:val="24"/>
        </w:rPr>
        <w:t>Federal), em Berlim;</w:t>
      </w:r>
    </w:p>
    <w:p>
      <w:pPr>
        <w:spacing w:line="240" w:lineRule="auto" w:after="120"/>
        <w:ind w:firstLine="0" w:left="0" w:right="0"/>
        <w:jc w:val="both"/>
      </w:pPr>
      <w:r>
        <w:rPr>
          <w:rFonts w:ascii="Merriweather Sans Light" w:hAnsi="Merriweather Sans Light"/>
          <w:sz w:val="24"/>
        </w:rPr>
        <w:t>- a Deutsche Rentenversicherung Knappschaft-Bahn-See (Seguro</w:t>
      </w:r>
    </w:p>
    <w:p>
      <w:pPr>
        <w:spacing w:line="240" w:lineRule="auto" w:after="120"/>
        <w:ind w:firstLine="0" w:left="0" w:right="0"/>
        <w:jc w:val="both"/>
      </w:pPr>
      <w:r>
        <w:rPr>
          <w:rFonts w:ascii="Merriweather Sans Light" w:hAnsi="Merriweather Sans Light"/>
          <w:sz w:val="24"/>
        </w:rPr>
        <w:t>Previdenciário dos Mineiros, Ferroviários e Marinheiros), em Bochum;</w:t>
      </w:r>
    </w:p>
    <w:p>
      <w:pPr>
        <w:spacing w:line="240" w:lineRule="auto" w:after="120"/>
        <w:ind w:firstLine="0" w:left="0" w:right="0"/>
        <w:jc w:val="both"/>
      </w:pPr>
      <w:r>
        <w:rPr>
          <w:rFonts w:ascii="Merriweather Sans Light" w:hAnsi="Merriweather Sans Light"/>
          <w:sz w:val="24"/>
        </w:rPr>
        <w:t>- a Spitzenverband der landwirtschaftlichen Sozialversicherung</w:t>
      </w:r>
    </w:p>
    <w:p>
      <w:pPr>
        <w:spacing w:line="240" w:lineRule="auto" w:after="120"/>
        <w:ind w:firstLine="0" w:left="0" w:right="0"/>
        <w:jc w:val="both"/>
      </w:pPr>
      <w:r>
        <w:rPr>
          <w:rFonts w:ascii="Merriweather Sans Light" w:hAnsi="Merriweather Sans Light"/>
          <w:sz w:val="24"/>
        </w:rPr>
        <w:t>(Confederação do Seguro Social Rural), em Kassel. Essas instituições são responsáveis por todos os processos, inclusive o reconhecimento e o pagamento de prestações conforme determinado pela legislação alemã. Se a Instituição alemã competente não for conhecida pelo Instituto Nacional do Seguro Social - INSS, este pode entrar em contato com qualquer uma das instituições alemãs acima mencionadas.</w:t>
      </w:r>
    </w:p>
    <w:p>
      <w:pPr>
        <w:spacing w:line="240" w:lineRule="auto" w:after="120"/>
        <w:ind w:firstLine="0" w:left="0" w:right="0"/>
        <w:jc w:val="both"/>
      </w:pPr>
      <w:r>
        <w:rPr>
          <w:rFonts w:ascii="Merriweather Sans Light" w:hAnsi="Merriweather Sans Light"/>
          <w:sz w:val="24"/>
        </w:rPr>
        <w:t>b) No Brasil:</w:t>
      </w:r>
    </w:p>
    <w:p>
      <w:pPr>
        <w:spacing w:line="240" w:lineRule="auto" w:after="120"/>
        <w:ind w:firstLine="0" w:left="0" w:right="0"/>
        <w:jc w:val="both"/>
      </w:pPr>
      <w:r>
        <w:rPr>
          <w:rFonts w:ascii="Merriweather Sans Light" w:hAnsi="Merriweather Sans Light"/>
          <w:sz w:val="24"/>
        </w:rPr>
        <w:t>- o INSS na Unidade por ele designada.</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Apresentação de requerimentos (1) A instituição de uma Parte que recebe requerimentos de prestações de acordo com a legislação da outra Parte, de pessoas que residam habitualmente no seu território, é responsável pelo fornecimento dos formulários para que o requerente os preencha prestando as informações necessárias ao seu processamento e fornecendo a documentação exigida. (2) As instituições das Partes também recebem requerimentos de prestações de acordo com a legislação da outra Parte de pessoas que residam habitualmente em território de Terceiros Estados. (3) Quando contatada para um requerimento de prestações, a instituição de uma Parte, sob sua legislação, verifica se há períodos de seguro ou contribuição cumpridos ao abrigo da legislação da outra Parte e de Terceiro Estado.</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Procedimentos para análise de requerimentos (1) A instituição competente da Parte na qual foi feito um requerimento de prestações deve notificar imediatamente a instituição competente da outra Parte sobre as informações exigidas para a análise do requerimento, incluindo os formulários previstos (início do procedimento). (2) Caso as instituições das Partes confirmem os dados nos formulários, desde que sejam apresentados documentos e certidões oficiais, não é necessária nenhuma prova adicional. Neste caso não é necessário o envio dos respectivos documentos e certidões oficiais. (3) As instituições das Partes devem comunicar a data do recebimento do requerimento e os fatos legais conhecidos por elas que sejam relevantes para a análise do requerimento. As instituições das Partes enviam a declaração do histórico laboral e contributivo do requerente exercido na outra Parte ou em Terceiro Estado, conforme disposto no parágrafo 3 do Protocolo Adicional ao Acordo, juntamente com os documentos referentes aos fatos relevantes em cópia autenticada, quando necessário. (4) A Instituição que envia o requerimento certifica no formulário previsto os períodos de seguro computáveis sob sua legislação. A Instituição caracteriza o tipo de períodos de seguro certificados e confirma se foi um seguro com contribuições obrigatórias ou voluntárias, ou se trata de trabalho exercido na parte subterrânea de uma mina. (5) Sempre que necessário, informações adicionais sobre atividades exercidas e os documentos correspondentes podem ser solicitados para a análise dos requerimentos de prestações. (6) Caso existam, conforme o parágrafo 3 do Protocolo Adicional ao Acordo, períodos de seguro cumpridos em Terceiro Estado, cada Instituição solicita da respectiva Instituição estrangeira os certificados necessários para que os períodos sejam analisados. (7) Os resultados da perícia médica, observando a legislação da Parte, relativa à capacidade laboral do requerente serão colocados gratuitamente à disposição da instituição da outra Parte, por meio do formulário acordado. (8) Se a instituição do Estado no qual o requerente não tenha a sua residência julgar necessária uma perícia médica adicional, a instituição do Estado de residência do requerente se encarregará de realizá-la, elaborando um parecer médico pericial, sendo as despesas pagas pela Instituição que requereu a perícia. O mesmo se aplica, ainda que não exista um processo de análise de requerimento pendente no país de residência. (9) Os parágrafos acima são aplicáveis, quando o requerimento de prestações for feito diretamente para a instituição competente da outra Parte.</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Comunicação sobre conclusão da análise do requerimento de prestação As instituições competentes notificam-se mutuamente, por meio do formulário acordado, sobre a conclusão da análise de um requerimento de prestação. As seguintes informações devem ser fornecidas:</w:t>
      </w:r>
    </w:p>
    <w:p>
      <w:pPr>
        <w:spacing w:line="240" w:lineRule="auto" w:after="120"/>
        <w:ind w:firstLine="0" w:left="0" w:right="0"/>
        <w:jc w:val="both"/>
      </w:pPr>
      <w:r>
        <w:rPr>
          <w:rFonts w:ascii="Merriweather Sans Light" w:hAnsi="Merriweather Sans Light"/>
          <w:sz w:val="24"/>
        </w:rPr>
        <w:t>a) Em caso de deferimento:</w:t>
      </w:r>
    </w:p>
    <w:p>
      <w:pPr>
        <w:spacing w:line="240" w:lineRule="auto" w:after="120"/>
        <w:ind w:firstLine="0" w:left="0" w:right="0"/>
        <w:jc w:val="both"/>
      </w:pPr>
      <w:r>
        <w:rPr>
          <w:rFonts w:ascii="Merriweather Sans Light" w:hAnsi="Merriweather Sans Light"/>
          <w:sz w:val="24"/>
        </w:rPr>
        <w:t>- o tipo de prestação;</w:t>
      </w:r>
    </w:p>
    <w:p>
      <w:pPr>
        <w:spacing w:line="240" w:lineRule="auto" w:after="120"/>
        <w:ind w:firstLine="0" w:left="0" w:right="0"/>
        <w:jc w:val="both"/>
      </w:pPr>
      <w:r>
        <w:rPr>
          <w:rFonts w:ascii="Merriweather Sans Light" w:hAnsi="Merriweather Sans Light"/>
          <w:sz w:val="24"/>
        </w:rPr>
        <w:t>- a data de início da prestação;</w:t>
      </w:r>
    </w:p>
    <w:p>
      <w:pPr>
        <w:spacing w:line="240" w:lineRule="auto" w:after="120"/>
        <w:ind w:firstLine="0" w:left="0" w:right="0"/>
        <w:jc w:val="both"/>
      </w:pPr>
      <w:r>
        <w:rPr>
          <w:rFonts w:ascii="Merriweather Sans Light" w:hAnsi="Merriweather Sans Light"/>
          <w:sz w:val="24"/>
        </w:rPr>
        <w:t>- o valor da prestação, incluindo todas as atualizações até o início do</w:t>
      </w:r>
    </w:p>
    <w:p>
      <w:pPr>
        <w:spacing w:line="240" w:lineRule="auto" w:after="120"/>
        <w:ind w:firstLine="0" w:left="0" w:right="0"/>
        <w:jc w:val="both"/>
      </w:pPr>
      <w:r>
        <w:rPr>
          <w:rFonts w:ascii="Merriweather Sans Light" w:hAnsi="Merriweather Sans Light"/>
          <w:sz w:val="24"/>
        </w:rPr>
        <w:t>pagamento.</w:t>
      </w:r>
    </w:p>
    <w:p>
      <w:pPr>
        <w:spacing w:line="240" w:lineRule="auto" w:after="120"/>
        <w:ind w:firstLine="0" w:left="0" w:right="0"/>
        <w:jc w:val="both"/>
      </w:pPr>
      <w:r>
        <w:rPr>
          <w:rFonts w:ascii="Merriweather Sans Light" w:hAnsi="Merriweather Sans Light"/>
          <w:sz w:val="24"/>
        </w:rPr>
        <w:t>b) Em caso de indeferimento:</w:t>
      </w:r>
    </w:p>
    <w:p>
      <w:pPr>
        <w:spacing w:line="240" w:lineRule="auto" w:after="120"/>
        <w:ind w:firstLine="0" w:left="0" w:right="0"/>
        <w:jc w:val="both"/>
      </w:pPr>
      <w:r>
        <w:rPr>
          <w:rFonts w:ascii="Merriweather Sans Light" w:hAnsi="Merriweather Sans Light"/>
          <w:sz w:val="24"/>
        </w:rPr>
        <w:t>- o tipo de prestação;</w:t>
      </w:r>
    </w:p>
    <w:p>
      <w:pPr>
        <w:spacing w:line="240" w:lineRule="auto" w:after="120"/>
        <w:ind w:firstLine="0" w:left="0" w:right="0"/>
        <w:jc w:val="both"/>
      </w:pPr>
      <w:r>
        <w:rPr>
          <w:rFonts w:ascii="Merriweather Sans Light" w:hAnsi="Merriweather Sans Light"/>
          <w:sz w:val="24"/>
        </w:rPr>
        <w:t>- o motivo da decisão;</w:t>
      </w:r>
    </w:p>
    <w:p>
      <w:pPr>
        <w:spacing w:line="240" w:lineRule="auto" w:after="120"/>
        <w:ind w:firstLine="0" w:left="0" w:right="0"/>
        <w:jc w:val="both"/>
      </w:pPr>
      <w:r>
        <w:rPr>
          <w:rFonts w:ascii="Merriweather Sans Light" w:hAnsi="Merriweather Sans Light"/>
          <w:sz w:val="24"/>
        </w:rPr>
        <w:t>- a data da decisão.</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Notificação dos períodos de seguro independente de um requerimento de prestação Quando o reconhecimento dos períodos de seguro for exigido pela legislação de uma Parte, independente de um requerimento de prestação, a instituição competente da outra Parte notificará a instituição requerente sobre os períodos de seguro computáveis, de acordo com a sua legislação.</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Reembolso de custos (1) Caso seja necessário reembolsar custos de acordo com o artigo 14, parágrafo 2 do Acordo, a instituição que realizou os exames deverá apresentar as despesas comprovadas no semestre, de acordo com sua legislação, e enviará à instituição solicitante as despesas detalhadas para cada caso individual. A instituição competente da outra Parte deverá reembolsar os custos no prazo de 90 (noventa) dias a partir da data de recebimento dos pedidos de reembolso. (2) Os pagamentos serão efetuados na moeda da instituição que realizou os exames.</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Troca de Informações As instituições competentes das Partes informam-se mutuamente sobre todos os fatos relevantes no âmbito do Acordo. Isto vale, dentre outros, para os seguintes fatos, caso eles sejam do conhecimento da instituição competente:</w:t>
      </w:r>
    </w:p>
    <w:p>
      <w:pPr>
        <w:spacing w:line="240" w:lineRule="auto" w:after="120"/>
        <w:ind w:firstLine="0" w:left="0" w:right="0"/>
        <w:jc w:val="both"/>
      </w:pPr>
      <w:r>
        <w:rPr>
          <w:rFonts w:ascii="Merriweather Sans Light" w:hAnsi="Merriweather Sans Light"/>
          <w:sz w:val="24"/>
        </w:rPr>
        <w:t>a) concessão ou cessação de uma prestação;</w:t>
      </w:r>
    </w:p>
    <w:p>
      <w:pPr>
        <w:spacing w:line="240" w:lineRule="auto" w:after="120"/>
        <w:ind w:firstLine="0" w:left="0" w:right="0"/>
        <w:jc w:val="both"/>
      </w:pPr>
      <w:r>
        <w:rPr>
          <w:rFonts w:ascii="Merriweather Sans Light" w:hAnsi="Merriweather Sans Light"/>
          <w:sz w:val="24"/>
        </w:rPr>
        <w:t>b) alteração nos períodos de seguro mediante comprovação dos novos</w:t>
      </w:r>
    </w:p>
    <w:p>
      <w:pPr>
        <w:spacing w:line="240" w:lineRule="auto" w:after="120"/>
        <w:ind w:firstLine="0" w:left="0" w:right="0"/>
        <w:jc w:val="both"/>
      </w:pPr>
      <w:r>
        <w:rPr>
          <w:rFonts w:ascii="Merriweather Sans Light" w:hAnsi="Merriweather Sans Light"/>
          <w:sz w:val="24"/>
        </w:rPr>
        <w:t>períodos de seguro;</w:t>
      </w:r>
    </w:p>
    <w:p>
      <w:pPr>
        <w:spacing w:line="240" w:lineRule="auto" w:after="120"/>
        <w:ind w:firstLine="0" w:left="0" w:right="0"/>
        <w:jc w:val="both"/>
      </w:pPr>
      <w:r>
        <w:rPr>
          <w:rFonts w:ascii="Merriweather Sans Light" w:hAnsi="Merriweather Sans Light"/>
          <w:sz w:val="24"/>
        </w:rPr>
        <w:t>c) permanência ou retorno no exercício de uma atividade assalariada ou</w:t>
      </w:r>
    </w:p>
    <w:p>
      <w:pPr>
        <w:spacing w:line="240" w:lineRule="auto" w:after="120"/>
        <w:ind w:firstLine="0" w:left="0" w:right="0"/>
        <w:jc w:val="both"/>
      </w:pPr>
      <w:r>
        <w:rPr>
          <w:rFonts w:ascii="Merriweather Sans Light" w:hAnsi="Merriweather Sans Light"/>
          <w:sz w:val="24"/>
        </w:rPr>
        <w:t>autônoma;</w:t>
      </w:r>
    </w:p>
    <w:p>
      <w:pPr>
        <w:spacing w:line="240" w:lineRule="auto" w:after="120"/>
        <w:ind w:firstLine="0" w:left="0" w:right="0"/>
        <w:jc w:val="both"/>
      </w:pPr>
      <w:r>
        <w:rPr>
          <w:rFonts w:ascii="Merriweather Sans Light" w:hAnsi="Merriweather Sans Light"/>
          <w:sz w:val="24"/>
        </w:rPr>
        <w:t>d) novo casamento de uma viúva / viúvo, constituição de uma nova união</w:t>
      </w:r>
    </w:p>
    <w:p>
      <w:pPr>
        <w:spacing w:line="240" w:lineRule="auto" w:after="120"/>
        <w:ind w:firstLine="0" w:left="0" w:right="0"/>
        <w:jc w:val="both"/>
      </w:pPr>
      <w:r>
        <w:rPr>
          <w:rFonts w:ascii="Merriweather Sans Light" w:hAnsi="Merriweather Sans Light"/>
          <w:sz w:val="24"/>
        </w:rPr>
        <w:t>estável registrada;</w:t>
      </w:r>
    </w:p>
    <w:p>
      <w:pPr>
        <w:spacing w:line="240" w:lineRule="auto" w:after="120"/>
        <w:ind w:firstLine="0" w:left="0" w:right="0"/>
        <w:jc w:val="both"/>
      </w:pPr>
      <w:r>
        <w:rPr>
          <w:rFonts w:ascii="Merriweather Sans Light" w:hAnsi="Merriweather Sans Light"/>
          <w:sz w:val="24"/>
        </w:rPr>
        <w:t>e) morte de um beneficiário;</w:t>
      </w:r>
    </w:p>
    <w:p>
      <w:pPr>
        <w:spacing w:line="240" w:lineRule="auto" w:after="120"/>
        <w:ind w:firstLine="0" w:left="0" w:right="0"/>
        <w:jc w:val="both"/>
      </w:pPr>
      <w:r>
        <w:rPr>
          <w:rFonts w:ascii="Merriweather Sans Light" w:hAnsi="Merriweather Sans Light"/>
          <w:sz w:val="24"/>
        </w:rPr>
        <w:t>f) transferência de residência habitual para um outro país;</w:t>
      </w:r>
    </w:p>
    <w:p>
      <w:pPr>
        <w:spacing w:line="240" w:lineRule="auto" w:after="120"/>
        <w:ind w:firstLine="0" w:left="0" w:right="0"/>
        <w:jc w:val="both"/>
      </w:pPr>
      <w:r>
        <w:rPr>
          <w:rFonts w:ascii="Merriweather Sans Light" w:hAnsi="Merriweather Sans Light"/>
          <w:sz w:val="24"/>
        </w:rPr>
        <w:t>g) alteração de endereço;</w:t>
      </w:r>
    </w:p>
    <w:p>
      <w:pPr>
        <w:spacing w:line="240" w:lineRule="auto" w:after="120"/>
        <w:ind w:firstLine="0" w:left="0" w:right="0"/>
        <w:jc w:val="both"/>
      </w:pPr>
      <w:r>
        <w:rPr>
          <w:rFonts w:ascii="Merriweather Sans Light" w:hAnsi="Merriweather Sans Light"/>
          <w:sz w:val="24"/>
        </w:rPr>
        <w:t>h) alteração de cidadania.</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Formulários (1) Para a operacionalização do Acordo, as instituições competentes utilizarão os formulários aprovados nas línguas oficiais de ambas as Partes. (2) De comum acordo, as instituições competentes poderão utilizar um sistema de transmissão de dados e documentos entre as instituições por meios eletrônicos. Disposições serão tomadas para garantir a transmissão segura desses dados e documentos.</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Pagamento As prestações pecuniárias serão pagas pela instituição competente, em cada caso, diretamente ao beneficiário.</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Troca de informações dos dados de óbito (1) Para monitorar as condições de pagamento em relação ao falecimento de beneficiário de aposentadorias ou pensões de residente no Brasil ou na Alemanha realiza-se uma comparação eletrônica dos dados de óbito. Sempre que uma comparação dos dados de óbito for realizada, não há necessidade da apresentação de um certificado de vida. O resultado da comparação transmitida é válido como prova oficial. Se não for possível realizar nenhuma comparação eletrônica dos dados de óbito, a apresentação de um certificado de vida continuará a ser obrigatória. (2) As Instituições competentes comprometem-se a usar os dados fornecidos mutuamente somente para fins de comparação de dados de óbitos, vedado o repasse desses dados a pessoas ou entidades terceiras.</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Totalização de períodos de seguro Para aplicação do contido no Artigo 13 do Acordo, os períodos de seguro computáveis segundo a legislação da outra Parte serão utilizados considerando-se somente o necessário para o cálculo da prestação de aposentadoria por idade.</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Entrada em vigor e alterações (1) A entrada em vigor do Ajuste Administrativo ocorrerá na mesma data do Acordo e terá idêntica duração. (2) De comum acordo este Ajuste Administrativo pode ser alterado a qualquer momento.</w:t>
      </w:r>
    </w:p>
    <w:p>
      <w:pPr>
        <w:spacing w:line="240" w:lineRule="auto" w:after="120"/>
        <w:ind w:firstLine="0" w:left="0" w:right="0"/>
        <w:jc w:val="both"/>
      </w:pPr>
      <w:r>
        <w:rPr>
          <w:rFonts w:ascii="Merriweather Sans Light" w:hAnsi="Merriweather Sans Light"/>
          <w:b/>
          <w:sz w:val="24"/>
        </w:rPr>
        <w:t>Feito em ............. aos ........ dias, do mês de ........ do ano de .......... em dois exemplares nos idiomas Português e Alemão, sendo ambos os textos igualmente autênticos.</w:t>
      </w:r>
    </w:p>
    <w:p>
      <w:pPr>
        <w:spacing w:line="240" w:lineRule="auto" w:after="120" w:before="240"/>
        <w:ind w:firstLine="0" w:left="0" w:right="0"/>
        <w:jc w:val="center"/>
      </w:pPr>
      <w:r>
        <w:rPr>
          <w:rFonts w:ascii="Merriweather Sans Light" w:hAnsi="Merriweather Sans Light"/>
          <w:b/>
          <w:sz w:val="24"/>
        </w:rPr>
        <w:t>=== AJUSTE ADMINISTRATIVO SAÚDE ===</w:t>
      </w:r>
    </w:p>
    <w:p>
      <w:pPr>
        <w:spacing w:line="240" w:lineRule="auto" w:after="120" w:before="240"/>
        <w:ind w:firstLine="0" w:left="0" w:right="0"/>
        <w:jc w:val="center"/>
      </w:pPr>
      <w:r>
        <w:rPr>
          <w:rFonts w:ascii="Merriweather Sans Light" w:hAnsi="Merriweather Sans Light"/>
          <w:b/>
          <w:sz w:val="24"/>
        </w:rPr>
        <w:t>AJUSTE ADMINISTRATIVO PARA EXECUÇÃO DO</w:t>
      </w:r>
    </w:p>
    <w:p>
      <w:pPr>
        <w:spacing w:line="240" w:lineRule="auto" w:after="120" w:before="240"/>
        <w:ind w:firstLine="0" w:left="0" w:right="0"/>
        <w:jc w:val="center"/>
      </w:pPr>
      <w:r>
        <w:rPr>
          <w:rFonts w:ascii="Merriweather Sans Light" w:hAnsi="Merriweather Sans Light"/>
          <w:b/>
          <w:sz w:val="24"/>
        </w:rPr>
        <w:t>ACORDO DE PREVIDÊNCIA SOCIAL ENTRE A REPÚBLICA FEDERAL DA</w:t>
      </w:r>
    </w:p>
    <w:p>
      <w:pPr>
        <w:spacing w:line="240" w:lineRule="auto" w:after="120" w:before="240"/>
        <w:ind w:firstLine="0" w:left="0" w:right="0"/>
        <w:jc w:val="center"/>
      </w:pPr>
      <w:r>
        <w:rPr>
          <w:rFonts w:ascii="Merriweather Sans Light" w:hAnsi="Merriweather Sans Light"/>
          <w:b/>
          <w:sz w:val="24"/>
        </w:rPr>
        <w:t>ALEMANHA E A REPÚBLICA FEDERATIVA DO BRASIL</w:t>
      </w:r>
    </w:p>
    <w:p>
      <w:pPr>
        <w:spacing w:line="240" w:lineRule="auto" w:after="120" w:before="240"/>
        <w:ind w:firstLine="0" w:left="0" w:right="0"/>
        <w:jc w:val="center"/>
      </w:pPr>
      <w:r>
        <w:rPr>
          <w:rFonts w:ascii="Merriweather Sans Light" w:hAnsi="Merriweather Sans Light"/>
          <w:b/>
          <w:sz w:val="24"/>
        </w:rPr>
        <w:t>DE 3 DE DEZEMBRO DE 2009</w:t>
      </w:r>
    </w:p>
    <w:p>
      <w:pPr>
        <w:spacing w:line="240" w:lineRule="auto" w:after="120"/>
        <w:ind w:firstLine="0" w:left="0" w:right="0"/>
        <w:jc w:val="both"/>
      </w:pPr>
      <w:r>
        <w:rPr>
          <w:rFonts w:ascii="Merriweather Sans Light" w:hAnsi="Merriweather Sans Light"/>
          <w:sz w:val="24"/>
        </w:rPr>
        <w:t>A Spitzenverband Bund der Krankenkassen (GKV-Spitzenverband) (Confederação das Caixas de Seguro-Saúde Obrigatório - GKV-Confederação), Deutsche Verbindungsstelle Krankenversicherung - Ausland (DVKA) (Organismo de Ligação do Seguro-Saúde com o Exterior - DVKA) e o Instituto Nacional do Seguro Social (INSS),</w:t>
      </w:r>
    </w:p>
    <w:p>
      <w:pPr>
        <w:spacing w:line="240" w:lineRule="auto" w:after="120"/>
        <w:ind w:firstLine="0" w:left="0" w:right="0"/>
        <w:jc w:val="both"/>
      </w:pPr>
      <w:r>
        <w:rPr>
          <w:rFonts w:ascii="Merriweather Sans Light" w:hAnsi="Merriweather Sans Light"/>
          <w:sz w:val="24"/>
        </w:rPr>
        <w:t>- com base no Artigo 19, parágrafos 5º e 6º do Acordo,</w:t>
      </w:r>
    </w:p>
    <w:p>
      <w:pPr>
        <w:spacing w:line="240" w:lineRule="auto" w:after="120"/>
        <w:ind w:firstLine="0" w:left="0" w:right="0"/>
        <w:jc w:val="both"/>
      </w:pPr>
      <w:r>
        <w:rPr>
          <w:rFonts w:ascii="Merriweather Sans Light" w:hAnsi="Merriweather Sans Light"/>
          <w:sz w:val="24"/>
        </w:rPr>
        <w:t>- com a participação das autoridades competentes do Ministério Federal de</w:t>
      </w:r>
    </w:p>
    <w:p>
      <w:pPr>
        <w:spacing w:line="240" w:lineRule="auto" w:after="120"/>
        <w:ind w:firstLine="0" w:left="0" w:right="0"/>
        <w:jc w:val="both"/>
      </w:pPr>
      <w:r>
        <w:rPr>
          <w:rFonts w:ascii="Merriweather Sans Light" w:hAnsi="Merriweather Sans Light"/>
          <w:sz w:val="24"/>
        </w:rPr>
        <w:t>Trabalho e Assuntos Sociais da República Federal da Alemanha e do Ministério da Previdência Social da República Federativa do Brasil,</w:t>
      </w:r>
    </w:p>
    <w:p>
      <w:pPr>
        <w:spacing w:line="240" w:lineRule="auto" w:after="120"/>
        <w:ind w:firstLine="0" w:left="0" w:right="0"/>
        <w:jc w:val="both"/>
      </w:pPr>
      <w:r>
        <w:rPr>
          <w:rFonts w:ascii="Merriweather Sans Light" w:hAnsi="Merriweather Sans Light"/>
          <w:sz w:val="24"/>
        </w:rPr>
        <w:t>- para execução das disposições sobre a legislação aplicável do Acordo (Artigos</w:t>
      </w:r>
    </w:p>
    <w:p>
      <w:pPr>
        <w:spacing w:line="240" w:lineRule="auto" w:after="120"/>
        <w:ind w:firstLine="0" w:left="0" w:right="0"/>
        <w:jc w:val="both"/>
      </w:pPr>
      <w:r>
        <w:rPr>
          <w:rFonts w:ascii="Merriweather Sans Light" w:hAnsi="Merriweather Sans Light"/>
          <w:sz w:val="24"/>
        </w:rPr>
        <w:t>6 a 9 do mesmo), acordam o seguinte:</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 (1) Os termos contidos neste Ajuste Administrativo serão utilizados com o mesmo significado definido no Acordo. (2) As exceções de que tratam o Artigo 9º do Acordo serão referidas neste Ajuste Administrativo como “convenções excepcionais”.</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Deslocamento (1) Um deslocamento nos termos do Artigo 7 do Acordo pressupõe, entre outras coisas, que a empresa que desloca exerça habitualmente uma atividade econômica significativa no país de origem do deslocamento. Critérios relevantes para isso são o faturamento ou o número de empregados da empresa no país de origem, durante um período suficientemente representativo (em geral o último ano fiscal). (2) Como indício suficiente para uma atividade econômica significativa considera se o mínimo de 25% do faturamento total da empresa ou emprego permanente de no mínimo 25% dos empregados, no país de origem do deslocamento. Caso os percentuais sejam inferiores a 25% será necessária uma avaliação individual. (3) O deslocamento não será afetado pelo fato que o respectivo empregado tenha sido deslocado pelo empregador para um terceiro país e imediatamente para novo deslocamento entre as Partes. (4) Se a duração do deslocamento for superior a 24 meses, a legislação do país de destino do deslocamento passará a vigorar a partir do 25º mês, exceto se tiver sido estabelecida, para o respectivo empregado, uma convenção excepcional mencionada no Artigo 9 do Acordo.</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Convenção excepcional (1) Uma convenção excepcional conforme Artigo 9 do Acordo é uma decisão discricionária que deverá levar em consideração a natureza e as circunstâncias da atividade. Isso inclui igualmente conhecimentos e habilidades específicas do empregado. (2) O objetivo da convenção excepcional é possibilitar, entre outras coisas, que o empregado possa continuar segurado na Parte de origem, quando:</w:t>
      </w:r>
    </w:p>
    <w:p>
      <w:pPr>
        <w:spacing w:line="240" w:lineRule="auto" w:after="120"/>
        <w:ind w:firstLine="0" w:left="0" w:right="0"/>
        <w:jc w:val="both"/>
      </w:pPr>
      <w:r>
        <w:rPr>
          <w:rFonts w:ascii="Merriweather Sans Light" w:hAnsi="Merriweather Sans Light"/>
          <w:sz w:val="24"/>
        </w:rPr>
        <w:t>a) o deslocamento exceder 24 meses;</w:t>
      </w:r>
    </w:p>
    <w:p>
      <w:pPr>
        <w:spacing w:line="240" w:lineRule="auto" w:after="120"/>
        <w:ind w:firstLine="0" w:left="0" w:right="0"/>
        <w:jc w:val="both"/>
      </w:pPr>
      <w:r>
        <w:rPr>
          <w:rFonts w:ascii="Merriweather Sans Light" w:hAnsi="Merriweather Sans Light"/>
          <w:sz w:val="24"/>
        </w:rPr>
        <w:t>b) habitualmente desempenhar uma atividade em uma das Partes e realiza</w:t>
      </w:r>
    </w:p>
    <w:p>
      <w:pPr>
        <w:spacing w:line="240" w:lineRule="auto" w:after="120"/>
        <w:ind w:firstLine="0" w:left="0" w:right="0"/>
        <w:jc w:val="both"/>
      </w:pPr>
      <w:r>
        <w:rPr>
          <w:rFonts w:ascii="Merriweather Sans Light" w:hAnsi="Merriweather Sans Light"/>
          <w:sz w:val="24"/>
        </w:rPr>
        <w:t>um trabalho na outra Parte, por um período previamente determinado, a pedido do empregador da Parte de origem para outro empregador. (3) O empregado deverá manter, durante o desempenho temporário de sua atividade na outra Parte, o vínculo empregatício exclusivamente com o seu empregador de origem.</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Prazo das convenções excepcionais (1) Uma convenção excepcional a princípio é celebrada apenas por períodos de trabalho até cinco anos. Se no início da atividade na outra Parte estiver definido que a atividade será exercida nessa Parte por mais de 5 anos, não poderá ser aplicada a convenção excepcional. Os períodos de deslocamento conforme disposto no Artigo 7 do Acordo serão computados como parte dos cinco anos. (2) Se um trabalho, inicialmente planejado por um período máximo de cinco anos na outra Parte, for prorrogado, uma convenção excepcional adicional pode ser celebrada por um período máximo de três anos, desde que as circunstâncias especiais, desse caso individual, apresentadas pelo empregador e empregado, justifiquem essa prorrogação. (3) Em caso de envios sucessivos do empregado para a outra Parte só será considerada uma convenção excepcional se no intervalo o empregado tiver trabalhado no mínimo vinte e quatro meses na Parte de origem. Se esse período de intervalo for inferior a vinte e quatro meses o tempo durante o qual esteve amparado pela legislação da Parte de origem conforme Artigo 7 do Acordo ou conforme uma convenção excepcional serão computados para efeito dos prazos máximos previstos neste artigo.</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Casos especiais (1) A fim de promover cultura, ciência, pesquisa e ensino poderão ser celebradas convenções excepcionais para empregados que trabalhem nestas áreas ainda que não enquadradas nos Artigos 3 ou 4 do presente Ajuste Administrativo. (2) Para as pessoas abrangidas pelo Artigo 8 parágrafo 2 do Acordo, contratadas até a data de sua entrada em vigor e que estejam amparadas pela legislação da outra Parte, poderão ser celebradas convenções excepcionais para garantir a permanência de vinculação à legislação da outra Parte.</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Processo de requerimento (1) O requerimento conjunto do empregado e do empregador, para celebrar uma convenção excepcional, deverá ser encaminhado conforme Artigo 9, parágrafo 2 do Acordo à instância designada da Parte, cuja legislação deverá prevalecer. Esta instância decidirá sobre a solicitação de comum acordo com a instância competente da outra Parte conforme Artigo 9, parágrafo 1 do Acordo. As duas Partes, de comum acordo, poderão prescindir das consultas previstas nesse artigo junto às instâncias competentes da outra Parte, se os seguintes requisitos tiverem sido cumpridos cumulativamente:</w:t>
      </w:r>
    </w:p>
    <w:p>
      <w:pPr>
        <w:spacing w:line="240" w:lineRule="auto" w:after="120"/>
        <w:ind w:firstLine="0" w:left="0" w:right="0"/>
        <w:jc w:val="both"/>
      </w:pPr>
      <w:r>
        <w:rPr>
          <w:rFonts w:ascii="Merriweather Sans Light" w:hAnsi="Merriweather Sans Light"/>
          <w:sz w:val="24"/>
        </w:rPr>
        <w:t>- a atividade do empregado será desempenhada na outra Parte em uma empresa</w:t>
      </w:r>
    </w:p>
    <w:p>
      <w:pPr>
        <w:spacing w:line="240" w:lineRule="auto" w:after="120"/>
        <w:ind w:firstLine="0" w:left="0" w:right="0"/>
        <w:jc w:val="both"/>
      </w:pPr>
      <w:r>
        <w:rPr>
          <w:rFonts w:ascii="Merriweather Sans Light" w:hAnsi="Merriweather Sans Light"/>
          <w:sz w:val="24"/>
        </w:rPr>
        <w:t>de participação (por exemplo, subsidiária) do empregador da Parte de origem, sediada na outra Parte; e</w:t>
      </w:r>
    </w:p>
    <w:p>
      <w:pPr>
        <w:spacing w:line="240" w:lineRule="auto" w:after="120"/>
        <w:ind w:firstLine="0" w:left="0" w:right="0"/>
        <w:jc w:val="both"/>
      </w:pPr>
      <w:r>
        <w:rPr>
          <w:rFonts w:ascii="Merriweather Sans Light" w:hAnsi="Merriweather Sans Light"/>
          <w:sz w:val="24"/>
        </w:rPr>
        <w:t>- o empregado deverá estar amparado pela legislação da Parte de origem por pelo</w:t>
      </w:r>
    </w:p>
    <w:p>
      <w:pPr>
        <w:spacing w:line="240" w:lineRule="auto" w:after="120"/>
        <w:ind w:firstLine="0" w:left="0" w:right="0"/>
        <w:jc w:val="both"/>
      </w:pPr>
      <w:r>
        <w:rPr>
          <w:rFonts w:ascii="Merriweather Sans Light" w:hAnsi="Merriweather Sans Light"/>
          <w:sz w:val="24"/>
        </w:rPr>
        <w:t>menos três meses imediatamente antes do envio à outra Parte; e</w:t>
      </w:r>
    </w:p>
    <w:p>
      <w:pPr>
        <w:spacing w:line="240" w:lineRule="auto" w:after="120"/>
        <w:ind w:firstLine="0" w:left="0" w:right="0"/>
        <w:jc w:val="both"/>
      </w:pPr>
      <w:r>
        <w:rPr>
          <w:rFonts w:ascii="Merriweather Sans Light" w:hAnsi="Merriweather Sans Light"/>
          <w:sz w:val="24"/>
        </w:rPr>
        <w:t>- a atividade do empregado na outra Parte é limitada antecipadamente a um período</w:t>
      </w:r>
    </w:p>
    <w:p>
      <w:pPr>
        <w:spacing w:line="240" w:lineRule="auto" w:after="120"/>
        <w:ind w:firstLine="0" w:left="0" w:right="0"/>
        <w:jc w:val="both"/>
      </w:pPr>
      <w:r>
        <w:rPr>
          <w:rFonts w:ascii="Merriweather Sans Light" w:hAnsi="Merriweather Sans Light"/>
          <w:sz w:val="24"/>
        </w:rPr>
        <w:t>máximo de cinco anos; e</w:t>
      </w:r>
    </w:p>
    <w:p>
      <w:pPr>
        <w:spacing w:line="240" w:lineRule="auto" w:after="120"/>
        <w:ind w:firstLine="0" w:left="0" w:right="0"/>
        <w:jc w:val="both"/>
      </w:pPr>
      <w:r>
        <w:rPr>
          <w:rFonts w:ascii="Merriweather Sans Light" w:hAnsi="Merriweather Sans Light"/>
          <w:sz w:val="24"/>
        </w:rPr>
        <w:t>- a convenção excepcional tiver sido requerida antes do início do período de envio</w:t>
      </w:r>
    </w:p>
    <w:p>
      <w:pPr>
        <w:spacing w:line="240" w:lineRule="auto" w:after="120"/>
        <w:ind w:firstLine="0" w:left="0" w:right="0"/>
        <w:jc w:val="both"/>
      </w:pPr>
      <w:r>
        <w:rPr>
          <w:rFonts w:ascii="Merriweather Sans Light" w:hAnsi="Merriweather Sans Light"/>
          <w:sz w:val="24"/>
        </w:rPr>
        <w:t>junto à instância competente da Parte de origem. (2) Se todas as condições mencionadas no parágrafo 1 estiverem cumpridas, a instância designada da Parte, na qual o requerimento é apresentado, poderá decidir unilateralmente sobre o pedido. Em caso de aprovação, informará a instância da outra Parte sua decisão, encaminhando cópia do certificado emitido relativo à legislação a ser aplicada. (3) Se a instância designada de uma Parte submeter à instância designada da outra Parte uma proposta de uma convenção excepcional e se apesar de repetidos avisos, não obtiver resposta, essa instância poderá decidir unilateralmente sobre a solicitação, sob condição de que a reiteração (última) tenha sido enviada por carta registrada com aviso de recebimento (AR) e desde que tenham se passado pelo menos quatro meses do recebimento da reiteração (última) pela instância designada da outra Parte. Tal decisão deve ser informada à outra Parte conforme o Artigo 6 parágrafo 2. (4) Durante os primeiros 24 meses depois da entrada em vigor do Acordo será aplicado o procedimento previsto na terceira frase do parágrafo 1 e no parágrafo 2 nos casos em que o requerimento for apresentado depois do início do desempenho das atividades do empregado na outra Parte.</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Certificado sobre a legislação aplicável (1) Nas condições mencionadas no Artigo 4 do Convênio de Execução do Acordo, as instâncias nele definidas deverão emitir certificado sobre a legislação aplicável. Nos casos de aplicação da legislação alemã deverá ser enviada uma cópia do certificado para o INSS. Os formulários acertados fazem parte integrante deste Ajuste. (2) Alterações no conteúdo dos formulários acertados só poderão ser efetuadas de comum acordo. (3) Modificações nos formulários não afetarão a validade deste Ajuste.</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Entrada em vigor e duração do Ajuste Este Ajuste entrará em vigor na data de entrada em vigor do Acordo e terá a mesma duração do Acordo.</w:t>
      </w:r>
    </w:p>
    <w:p>
      <w:pPr>
        <w:spacing w:line="240" w:lineRule="auto" w:after="120"/>
        <w:ind w:firstLine="0" w:left="0" w:right="0"/>
        <w:jc w:val="both"/>
      </w:pPr>
      <w:r>
        <w:rPr>
          <w:rFonts w:ascii="Merriweather Sans Light" w:hAnsi="Merriweather Sans Light"/>
          <w:b/>
          <w:sz w:val="24"/>
        </w:rPr>
        <w:t>Feito em Brasília, aos ...... dias do mês de Dezembro de 2010, em dois originais, nos idiomas português e alemão, sendo ambos os textos igualmente autênticos.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