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ind w:firstLine="0" w:left="0" w:right="0"/>
        <w:jc w:val="both"/>
      </w:pPr>
      <w:r>
        <w:rPr>
          <w:rFonts w:ascii="Merriweather Sans Light" w:hAnsi="Merriweather Sans Light"/>
          <w:sz w:val="24"/>
        </w:rPr>
        <w:t>AJUSTE ADMINISTRATIVO RELATIVO À APLICAÇÃO DO ACORDO SOBRE PREVIDÊNCIA SOCIAL ENTRE A REPÚBLICA FEDERATIVA DO BRASIL E O REINO DA BÉLGICA Nos termos do artigo 20 do Acordo de Previdência Social entre a República Federativa do Brasil e o Reino da Bélgica, a autoridade competente brasileira e a autoridade competente belga estabelecem de comum acordo as seguintes disposições:</w:t>
      </w:r>
    </w:p>
    <w:p>
      <w:pPr>
        <w:spacing w:line="240" w:lineRule="auto" w:after="120" w:before="240"/>
        <w:ind w:firstLine="0" w:left="0" w:right="0"/>
        <w:jc w:val="center"/>
      </w:pPr>
      <w:r>
        <w:rPr>
          <w:rFonts w:ascii="Merriweather Sans Light" w:hAnsi="Merriweather Sans Light"/>
          <w:b/>
          <w:sz w:val="24"/>
        </w:rPr>
        <w:t>TÍTULO I</w:t>
      </w:r>
    </w:p>
    <w:p>
      <w:pPr>
        <w:spacing w:line="240" w:lineRule="auto" w:after="120" w:before="240"/>
        <w:ind w:firstLine="0" w:left="0" w:right="0"/>
        <w:jc w:val="center"/>
      </w:pPr>
      <w:r>
        <w:rPr>
          <w:rFonts w:ascii="Merriweather Sans Light" w:hAnsi="Merriweather Sans Light"/>
          <w:b/>
          <w:sz w:val="24"/>
        </w:rPr>
        <w:t>DISPOSIÇÕES GERAIS</w:t>
      </w:r>
    </w:p>
    <w:p>
      <w:pPr>
        <w:spacing w:line="240" w:lineRule="auto" w:after="120" w:before="240"/>
        <w:ind w:firstLine="0" w:left="0" w:right="0"/>
        <w:jc w:val="center"/>
      </w:pPr>
      <w:r>
        <w:rPr>
          <w:rFonts w:ascii="Merriweather Sans Light" w:hAnsi="Merriweather Sans Light"/>
          <w:b/>
          <w:sz w:val="24"/>
        </w:rPr>
        <w:t>Artigo 1</w:t>
      </w:r>
    </w:p>
    <w:p>
      <w:pPr>
        <w:spacing w:line="240" w:lineRule="auto" w:after="120"/>
        <w:ind w:firstLine="0" w:left="0" w:right="0"/>
        <w:jc w:val="both"/>
      </w:pPr>
      <w:r>
        <w:rPr>
          <w:rFonts w:ascii="Merriweather Sans Light" w:hAnsi="Merriweather Sans Light"/>
          <w:sz w:val="24"/>
        </w:rPr>
        <w:t>Definições</w:t>
      </w:r>
    </w:p>
    <w:p>
      <w:pPr>
        <w:spacing w:line="240" w:lineRule="auto" w:after="120"/>
        <w:ind w:firstLine="0" w:left="0" w:right="0"/>
        <w:jc w:val="both"/>
      </w:pPr>
      <w:r>
        <w:rPr>
          <w:rFonts w:ascii="Merriweather Sans Light" w:hAnsi="Merriweather Sans Light"/>
          <w:sz w:val="24"/>
        </w:rPr>
        <w:t>1. Para a aplicação do presente Ajuste:</w:t>
      </w:r>
    </w:p>
    <w:p>
      <w:pPr>
        <w:spacing w:line="240" w:lineRule="auto" w:after="120"/>
        <w:ind w:firstLine="0" w:left="0" w:right="0"/>
        <w:jc w:val="both"/>
      </w:pPr>
      <w:r>
        <w:rPr>
          <w:rFonts w:ascii="Merriweather Sans Light" w:hAnsi="Merriweather Sans Light"/>
          <w:sz w:val="24"/>
        </w:rPr>
        <w:t>a) O termo “Acordo” designa o Acordo sobre Previdência Social entre a República Federativa do Brasil e o Reino da Bélgica, assinado em 4 de outubro de 2009;</w:t>
      </w:r>
    </w:p>
    <w:p>
      <w:pPr>
        <w:spacing w:line="240" w:lineRule="auto" w:after="120"/>
        <w:ind w:firstLine="0" w:left="0" w:right="0"/>
        <w:jc w:val="both"/>
      </w:pPr>
      <w:r>
        <w:rPr>
          <w:rFonts w:ascii="Merriweather Sans Light" w:hAnsi="Merriweather Sans Light"/>
          <w:sz w:val="24"/>
        </w:rPr>
        <w:t>b) O termo “Ajuste” designa o Ajuste Administrativo relativo à aplicação do Acordo sobre Previdência Social entre a República Federativa do Brasil e o Reino da Bélgica.</w:t>
      </w:r>
    </w:p>
    <w:p>
      <w:pPr>
        <w:spacing w:line="240" w:lineRule="auto" w:after="120"/>
        <w:ind w:firstLine="0" w:left="0" w:right="0"/>
        <w:jc w:val="both"/>
      </w:pPr>
      <w:r>
        <w:rPr>
          <w:rFonts w:ascii="Merriweather Sans Light" w:hAnsi="Merriweather Sans Light"/>
          <w:sz w:val="24"/>
        </w:rPr>
        <w:t>2. Os termos utilizados no presente Ajuste têm o significado que se lhes foi atribuído no artigo 1 do Acordo.</w:t>
      </w:r>
    </w:p>
    <w:p>
      <w:pPr>
        <w:spacing w:line="240" w:lineRule="auto" w:after="120" w:before="240"/>
        <w:ind w:firstLine="0" w:left="0" w:right="0"/>
        <w:jc w:val="center"/>
      </w:pPr>
      <w:r>
        <w:rPr>
          <w:rFonts w:ascii="Merriweather Sans Light" w:hAnsi="Merriweather Sans Light"/>
          <w:b/>
          <w:sz w:val="24"/>
        </w:rPr>
        <w:t>Artigo 2</w:t>
      </w:r>
    </w:p>
    <w:p>
      <w:pPr>
        <w:spacing w:line="240" w:lineRule="auto" w:after="120"/>
        <w:ind w:firstLine="0" w:left="0" w:right="0"/>
        <w:jc w:val="both"/>
      </w:pPr>
      <w:r>
        <w:rPr>
          <w:rFonts w:ascii="Merriweather Sans Light" w:hAnsi="Merriweather Sans Light"/>
          <w:sz w:val="24"/>
        </w:rPr>
        <w:t>Organismos de Ligação São designados como Organismos de Ligação para a aplicação do Acordo: Na Bélgica:</w:t>
      </w:r>
    </w:p>
    <w:p>
      <w:pPr>
        <w:spacing w:line="240" w:lineRule="auto" w:after="120"/>
        <w:ind w:firstLine="0" w:left="0" w:right="0"/>
        <w:jc w:val="both"/>
      </w:pPr>
      <w:r>
        <w:rPr>
          <w:rFonts w:ascii="Merriweather Sans Light" w:hAnsi="Merriweather Sans Light"/>
          <w:sz w:val="24"/>
        </w:rPr>
        <w:t>1. Aposentadoria por idade e Pensão por morte</w:t>
      </w:r>
    </w:p>
    <w:p>
      <w:pPr>
        <w:spacing w:line="240" w:lineRule="auto" w:after="120"/>
        <w:ind w:firstLine="0" w:left="0" w:right="0"/>
        <w:jc w:val="both"/>
      </w:pPr>
      <w:r>
        <w:rPr>
          <w:rFonts w:ascii="Merriweather Sans Light" w:hAnsi="Merriweather Sans Light"/>
          <w:sz w:val="24"/>
        </w:rPr>
        <w:t>a) Para os trabalhadores assalariados: Centro Nacional de Pensões, Bruxelas;</w:t>
      </w:r>
    </w:p>
    <w:p>
      <w:pPr>
        <w:spacing w:line="240" w:lineRule="auto" w:after="120"/>
        <w:ind w:firstLine="0" w:left="0" w:right="0"/>
        <w:jc w:val="both"/>
      </w:pPr>
      <w:r>
        <w:rPr>
          <w:rFonts w:ascii="Merriweather Sans Light" w:hAnsi="Merriweather Sans Light"/>
          <w:sz w:val="24"/>
        </w:rPr>
        <w:t>b) Para os trabalhadores autônomos: Instituto Nacional de Seguro Social para Trabalhadores Autônomos, Bruxelas.</w:t>
      </w:r>
    </w:p>
    <w:p>
      <w:pPr>
        <w:spacing w:line="240" w:lineRule="auto" w:after="120"/>
        <w:ind w:firstLine="0" w:left="0" w:right="0"/>
        <w:jc w:val="both"/>
      </w:pPr>
      <w:r>
        <w:rPr>
          <w:rFonts w:ascii="Merriweather Sans Light" w:hAnsi="Merriweather Sans Light"/>
          <w:sz w:val="24"/>
        </w:rPr>
        <w:t>2. Aposentadoria por Invalidez</w:t>
      </w:r>
    </w:p>
    <w:p>
      <w:pPr>
        <w:spacing w:line="240" w:lineRule="auto" w:after="120"/>
        <w:ind w:firstLine="0" w:left="0" w:right="0"/>
        <w:jc w:val="both"/>
      </w:pPr>
      <w:r>
        <w:rPr>
          <w:rFonts w:ascii="Merriweather Sans Light" w:hAnsi="Merriweather Sans Light"/>
          <w:sz w:val="24"/>
        </w:rPr>
        <w:t>a) Regra geral: Instituto Nacional de Seguro Doença-Invalidez, Bruxelas;</w:t>
      </w:r>
    </w:p>
    <w:p>
      <w:pPr>
        <w:spacing w:line="240" w:lineRule="auto" w:after="120"/>
        <w:ind w:firstLine="0" w:left="0" w:right="0"/>
        <w:jc w:val="both"/>
      </w:pPr>
      <w:r>
        <w:rPr>
          <w:rFonts w:ascii="Merriweather Sans Light" w:hAnsi="Merriweather Sans Light"/>
          <w:sz w:val="24"/>
        </w:rPr>
        <w:t>b) Para os marinheiros: Fundo de Auxílio e Previdência em favor dos Marinheiros, Antuérpia.</w:t>
      </w:r>
    </w:p>
    <w:p>
      <w:pPr>
        <w:spacing w:line="240" w:lineRule="auto" w:after="120"/>
        <w:ind w:firstLine="0" w:left="0" w:right="0"/>
        <w:jc w:val="both"/>
      </w:pPr>
      <w:r>
        <w:rPr>
          <w:rFonts w:ascii="Merriweather Sans Light" w:hAnsi="Merriweather Sans Light"/>
          <w:sz w:val="24"/>
        </w:rPr>
        <w:t>No Brasil: Para aposentadoria por idade, pensão por morte e aposentadoria por invalidez, o Instituto Nacional do Seguro Social (INSS).</w:t>
      </w:r>
    </w:p>
    <w:p>
      <w:pPr>
        <w:spacing w:line="240" w:lineRule="auto" w:after="120" w:before="240"/>
        <w:ind w:firstLine="0" w:left="0" w:right="0"/>
        <w:jc w:val="center"/>
      </w:pPr>
      <w:r>
        <w:rPr>
          <w:rFonts w:ascii="Merriweather Sans Light" w:hAnsi="Merriweather Sans Light"/>
          <w:b/>
          <w:sz w:val="24"/>
        </w:rPr>
        <w:t>Artigo 3</w:t>
      </w:r>
    </w:p>
    <w:p>
      <w:pPr>
        <w:spacing w:line="240" w:lineRule="auto" w:after="120"/>
        <w:ind w:firstLine="0" w:left="0" w:right="0"/>
        <w:jc w:val="both"/>
      </w:pPr>
      <w:r>
        <w:rPr>
          <w:rFonts w:ascii="Merriweather Sans Light" w:hAnsi="Merriweather Sans Light"/>
          <w:sz w:val="24"/>
        </w:rPr>
        <w:t>Instituições Competentes São designadas como Instituições Competentes para a aplicação do Acordo: Na Bélgica:</w:t>
      </w:r>
    </w:p>
    <w:p>
      <w:pPr>
        <w:spacing w:line="240" w:lineRule="auto" w:after="120"/>
        <w:ind w:firstLine="0" w:left="0" w:right="0"/>
        <w:jc w:val="both"/>
      </w:pPr>
      <w:r>
        <w:rPr>
          <w:rFonts w:ascii="Merriweather Sans Light" w:hAnsi="Merriweather Sans Light"/>
          <w:sz w:val="24"/>
        </w:rPr>
        <w:t>1. Aposentadoria por idade e Pensão por morte</w:t>
      </w:r>
    </w:p>
    <w:p>
      <w:pPr>
        <w:spacing w:line="240" w:lineRule="auto" w:after="120"/>
        <w:ind w:firstLine="0" w:left="0" w:right="0"/>
        <w:jc w:val="both"/>
      </w:pPr>
      <w:r>
        <w:rPr>
          <w:rFonts w:ascii="Merriweather Sans Light" w:hAnsi="Merriweather Sans Light"/>
          <w:sz w:val="24"/>
        </w:rPr>
        <w:t>a) Para os trabalhadores assalariados: Centro Nacional de Pensões, Bruxelas;</w:t>
      </w:r>
    </w:p>
    <w:p>
      <w:pPr>
        <w:spacing w:line="240" w:lineRule="auto" w:after="120"/>
        <w:ind w:firstLine="0" w:left="0" w:right="0"/>
        <w:jc w:val="both"/>
      </w:pPr>
      <w:r>
        <w:rPr>
          <w:rFonts w:ascii="Merriweather Sans Light" w:hAnsi="Merriweather Sans Light"/>
          <w:sz w:val="24"/>
        </w:rPr>
        <w:t>b) Para os trabalhadores autônomos: Instituto Nacional de Seguro Social para Trabalhadores Autônomos, Bruxelas.</w:t>
      </w:r>
    </w:p>
    <w:p>
      <w:pPr>
        <w:spacing w:line="240" w:lineRule="auto" w:after="120"/>
        <w:ind w:firstLine="0" w:left="0" w:right="0"/>
        <w:jc w:val="both"/>
      </w:pPr>
      <w:r>
        <w:rPr>
          <w:rFonts w:ascii="Merriweather Sans Light" w:hAnsi="Merriweather Sans Light"/>
          <w:sz w:val="24"/>
        </w:rPr>
        <w:t>2. Aposentadoria por Invalidez</w:t>
      </w:r>
    </w:p>
    <w:p>
      <w:pPr>
        <w:spacing w:line="240" w:lineRule="auto" w:after="120"/>
        <w:ind w:firstLine="0" w:left="0" w:right="0"/>
        <w:jc w:val="both"/>
      </w:pPr>
      <w:r>
        <w:rPr>
          <w:rFonts w:ascii="Merriweather Sans Light" w:hAnsi="Merriweather Sans Light"/>
          <w:sz w:val="24"/>
        </w:rPr>
        <w:t>a) Regra geral: Instituto Nacional de Seguro Doença-Invalidez, Bruxelas, juntamente com o órgão segurador ao qual o trabalhador assalariado ou autônomo é ou foi afiliado;</w:t>
      </w:r>
    </w:p>
    <w:p>
      <w:pPr>
        <w:spacing w:line="240" w:lineRule="auto" w:after="120"/>
        <w:ind w:firstLine="0" w:left="0" w:right="0"/>
        <w:jc w:val="both"/>
      </w:pPr>
      <w:r>
        <w:rPr>
          <w:rFonts w:ascii="Merriweather Sans Light" w:hAnsi="Merriweather Sans Light"/>
          <w:sz w:val="24"/>
        </w:rPr>
        <w:t>b) Para os marinheiros: Fundo de Auxílio e Previdência dos Marinheiros, Antuérpia.</w:t>
      </w:r>
    </w:p>
    <w:p>
      <w:pPr>
        <w:spacing w:line="240" w:lineRule="auto" w:after="120"/>
        <w:ind w:firstLine="0" w:left="0" w:right="0"/>
        <w:jc w:val="both"/>
      </w:pPr>
      <w:r>
        <w:rPr>
          <w:rFonts w:ascii="Merriweather Sans Light" w:hAnsi="Merriweather Sans Light"/>
          <w:sz w:val="24"/>
        </w:rPr>
        <w:t>No Brasil: Para aposentadoria por idade, pensão por morte e aposentadoria por invalidez, o Instituto Nacional do Seguro Social – INSS.</w:t>
      </w:r>
    </w:p>
    <w:p>
      <w:pPr>
        <w:spacing w:line="240" w:lineRule="auto" w:after="120" w:before="240"/>
        <w:ind w:firstLine="0" w:left="0" w:right="0"/>
        <w:jc w:val="center"/>
      </w:pPr>
      <w:r>
        <w:rPr>
          <w:rFonts w:ascii="Merriweather Sans Light" w:hAnsi="Merriweather Sans Light"/>
          <w:b/>
          <w:sz w:val="24"/>
        </w:rPr>
        <w:t>TÍTULO II</w:t>
      </w:r>
    </w:p>
    <w:p>
      <w:pPr>
        <w:spacing w:line="240" w:lineRule="auto" w:after="120" w:before="240"/>
        <w:ind w:firstLine="0" w:left="0" w:right="0"/>
        <w:jc w:val="center"/>
      </w:pPr>
      <w:r>
        <w:rPr>
          <w:rFonts w:ascii="Merriweather Sans Light" w:hAnsi="Merriweather Sans Light"/>
          <w:b/>
          <w:sz w:val="24"/>
        </w:rPr>
        <w:t>DISPOSIÇÕES REFERENTES À LEGISLAÇÃO APLICÁVEL</w:t>
      </w:r>
    </w:p>
    <w:p>
      <w:pPr>
        <w:spacing w:line="240" w:lineRule="auto" w:after="120" w:before="240"/>
        <w:ind w:firstLine="0" w:left="0" w:right="0"/>
        <w:jc w:val="center"/>
      </w:pPr>
      <w:r>
        <w:rPr>
          <w:rFonts w:ascii="Merriweather Sans Light" w:hAnsi="Merriweather Sans Light"/>
          <w:b/>
          <w:sz w:val="24"/>
        </w:rPr>
        <w:t>Artigo 4</w:t>
      </w:r>
    </w:p>
    <w:p>
      <w:pPr>
        <w:spacing w:line="240" w:lineRule="auto" w:after="120"/>
        <w:ind w:firstLine="0" w:left="0" w:right="0"/>
        <w:jc w:val="both"/>
      </w:pPr>
      <w:r>
        <w:rPr>
          <w:rFonts w:ascii="Merriweather Sans Light" w:hAnsi="Merriweather Sans Light"/>
          <w:sz w:val="24"/>
        </w:rPr>
        <w:t>Certificado relativo ao deslocamento</w:t>
      </w:r>
    </w:p>
    <w:p>
      <w:pPr>
        <w:spacing w:line="240" w:lineRule="auto" w:after="120"/>
        <w:ind w:firstLine="0" w:left="0" w:right="0"/>
        <w:jc w:val="both"/>
      </w:pPr>
      <w:r>
        <w:rPr>
          <w:rFonts w:ascii="Merriweather Sans Light" w:hAnsi="Merriweather Sans Light"/>
          <w:sz w:val="24"/>
        </w:rPr>
        <w:t>1. Nos casos previstos nos artigos 8 e 9, parágrafo 6, e no artigo 10 do Acordo, o Organismo do Estado Contratante designado no parágrafo 2 do presente artigo, cuja legislação continua sendo aplicável, fornecerá ao trabalhador assalariado ou autônomo, ou ao funcionário, a pedido do empregador ou do trabalhador autônomo, e, no que diz respeito à Bélgica, a pedido do trabalhador assalariado, um certificado atestando que o trabalhador assalariado, ou autônomo, ou funcionário continua sujeito a esta legislação e com especificação do período.</w:t>
      </w:r>
    </w:p>
    <w:p>
      <w:pPr>
        <w:spacing w:line="240" w:lineRule="auto" w:after="120"/>
        <w:ind w:firstLine="0" w:left="0" w:right="0"/>
        <w:jc w:val="both"/>
      </w:pPr>
      <w:r>
        <w:rPr>
          <w:rFonts w:ascii="Merriweather Sans Light" w:hAnsi="Merriweather Sans Light"/>
          <w:sz w:val="24"/>
        </w:rPr>
        <w:t>2. O certificado previsto no parágrafo 1º do presente artigo será entregue:</w:t>
      </w:r>
    </w:p>
    <w:p>
      <w:pPr>
        <w:spacing w:line="240" w:lineRule="auto" w:after="120"/>
        <w:ind w:firstLine="0" w:left="0" w:right="0"/>
        <w:jc w:val="both"/>
      </w:pPr>
      <w:r>
        <w:rPr>
          <w:rFonts w:ascii="Merriweather Sans Light" w:hAnsi="Merriweather Sans Light"/>
          <w:sz w:val="24"/>
        </w:rPr>
        <w:t>Na Bélgica:</w:t>
      </w:r>
    </w:p>
    <w:p>
      <w:pPr>
        <w:spacing w:line="240" w:lineRule="auto" w:after="120"/>
        <w:ind w:firstLine="0" w:left="0" w:right="0"/>
        <w:jc w:val="both"/>
      </w:pPr>
      <w:r>
        <w:rPr>
          <w:rFonts w:ascii="Merriweather Sans Light" w:hAnsi="Merriweather Sans Light"/>
          <w:sz w:val="24"/>
        </w:rPr>
        <w:t>a) em relação aos trabalhadores assalariados:</w:t>
      </w:r>
    </w:p>
    <w:p>
      <w:pPr>
        <w:spacing w:line="240" w:lineRule="auto" w:after="120"/>
        <w:ind w:firstLine="0" w:left="0" w:right="0"/>
        <w:jc w:val="both"/>
      </w:pPr>
      <w:r>
        <w:rPr>
          <w:rFonts w:ascii="Merriweather Sans Light" w:hAnsi="Merriweather Sans Light"/>
          <w:sz w:val="24"/>
        </w:rPr>
        <w:t>i. a respeito do artigo 8, parágrafos 1 e 2 do Acordo, pelo Instituto Nacional de Seguro Social, Bruxelas; ii. a respeito do artigo 10 do Acordo, pelo Serviço Público Federal de Seguro Social, Bruxelas.</w:t>
      </w:r>
    </w:p>
    <w:p>
      <w:pPr>
        <w:spacing w:line="240" w:lineRule="auto" w:after="120"/>
        <w:ind w:firstLine="0" w:left="0" w:right="0"/>
        <w:jc w:val="both"/>
      </w:pPr>
      <w:r>
        <w:rPr>
          <w:rFonts w:ascii="Merriweather Sans Light" w:hAnsi="Merriweather Sans Light"/>
          <w:sz w:val="24"/>
        </w:rPr>
        <w:t>b) em relação aos trabalhadores autônomos:</w:t>
      </w:r>
    </w:p>
    <w:p>
      <w:pPr>
        <w:spacing w:line="240" w:lineRule="auto" w:after="120"/>
        <w:ind w:firstLine="0" w:left="0" w:right="0"/>
        <w:jc w:val="both"/>
      </w:pPr>
      <w:r>
        <w:rPr>
          <w:rFonts w:ascii="Merriweather Sans Light" w:hAnsi="Merriweather Sans Light"/>
          <w:sz w:val="24"/>
        </w:rPr>
        <w:t>i. a respeito do artigo 8, parágrafo 5, do Acordo, pelo Instituto Nacional de Seguro Social para Trabalhadores Autônomos, Bruxelas; ii. a respeito do artigo 8, parágrafo 6, e do artigo 10 do Acordo, pelo Serviço Público Federal de Seguro Social, Bruxelas.</w:t>
      </w:r>
    </w:p>
    <w:p>
      <w:pPr>
        <w:spacing w:line="240" w:lineRule="auto" w:after="120"/>
        <w:ind w:firstLine="0" w:left="0" w:right="0"/>
        <w:jc w:val="both"/>
      </w:pPr>
      <w:r>
        <w:rPr>
          <w:rFonts w:ascii="Merriweather Sans Light" w:hAnsi="Merriweather Sans Light"/>
          <w:sz w:val="24"/>
        </w:rPr>
        <w:t>c) em relação aos funcionários:</w:t>
      </w:r>
    </w:p>
    <w:p>
      <w:pPr>
        <w:spacing w:line="240" w:lineRule="auto" w:after="120"/>
        <w:ind w:firstLine="0" w:left="0" w:right="0"/>
        <w:jc w:val="both"/>
      </w:pPr>
      <w:r>
        <w:rPr>
          <w:rFonts w:ascii="Merriweather Sans Light" w:hAnsi="Merriweather Sans Light"/>
          <w:sz w:val="24"/>
        </w:rPr>
        <w:t>a respeito do artigo 9, parágrafo 6, do Acordo, pelo Instituto Nacional de Seguro Social, Bruxelas. No Brasil: Pelo Instituto Nacional do Seguro Social (INSS).</w:t>
      </w:r>
    </w:p>
    <w:p>
      <w:pPr>
        <w:spacing w:line="240" w:lineRule="auto" w:after="120"/>
        <w:ind w:firstLine="0" w:left="0" w:right="0"/>
        <w:jc w:val="both"/>
      </w:pPr>
      <w:r>
        <w:rPr>
          <w:rFonts w:ascii="Merriweather Sans Light" w:hAnsi="Merriweather Sans Light"/>
          <w:sz w:val="24"/>
        </w:rPr>
        <w:t>3. Durante o período de deslocamento previsto no artigo 8, parágrafo 1 ou 5 do Acordo, as interrupções serão possíveis. Essas interrupções serão consideradas como parte integrante do período de deslocamento.</w:t>
      </w:r>
    </w:p>
    <w:p>
      <w:pPr>
        <w:spacing w:line="240" w:lineRule="auto" w:after="120"/>
        <w:ind w:firstLine="0" w:left="0" w:right="0"/>
        <w:jc w:val="both"/>
      </w:pPr>
      <w:r>
        <w:rPr>
          <w:rFonts w:ascii="Merriweather Sans Light" w:hAnsi="Merriweather Sans Light"/>
          <w:sz w:val="24"/>
        </w:rPr>
        <w:t>Todavia, se essa interrupção atingir pelo menos 6 meses, será permitido um novo deslocamento, conforme o artigo 8, parágrafo 1 ou 5 do Acordo.</w:t>
      </w:r>
    </w:p>
    <w:p>
      <w:pPr>
        <w:spacing w:line="240" w:lineRule="auto" w:after="120"/>
        <w:ind w:firstLine="0" w:left="0" w:right="0"/>
        <w:jc w:val="both"/>
      </w:pPr>
      <w:r>
        <w:rPr>
          <w:rFonts w:ascii="Merriweather Sans Light" w:hAnsi="Merriweather Sans Light"/>
          <w:sz w:val="24"/>
        </w:rPr>
        <w:t>4. O original do certificado previsto no parágrafo 1 do presente artigo será entregue ao empregador, ou ao trabalhador assalariado, ou ao trabalhador autônomo, ou ao funcionário e deve estar de posse do trabalhador assalariado, do trabalhador autônomo ou do funcionário durante todo o período especificado, a fim de provar, no país de acolhimento, que ele permanece submetido à legislação do país de origem.</w:t>
      </w:r>
    </w:p>
    <w:p>
      <w:pPr>
        <w:spacing w:line="240" w:lineRule="auto" w:after="120"/>
        <w:ind w:firstLine="0" w:left="0" w:right="0"/>
        <w:jc w:val="both"/>
      </w:pPr>
      <w:r>
        <w:rPr>
          <w:rFonts w:ascii="Merriweather Sans Light" w:hAnsi="Merriweather Sans Light"/>
          <w:sz w:val="24"/>
        </w:rPr>
        <w:t>5. Uma cópia do certificado emitido, nos termos do parágrafo 1, pelo Instituto Nacional do Seguro Social (INSS) do Brasil, será enviada, em relação aos trabalhadores assalariados, ao Instituto Nacional de Seguro Social, em Bruxelas, e, em relação aos trabalhadores autônomos, ao Instituto Nacional de Seguro Social para Trabalhadores Autônomos, em Bruxelas. Da mesma forma, uma cópia do certificado emitido pela Instituição Competente da Bélgica será enviada ao Instituto Nacional do Seguro Social (INSS).</w:t>
      </w:r>
    </w:p>
    <w:p>
      <w:pPr>
        <w:spacing w:line="240" w:lineRule="auto" w:after="120"/>
        <w:ind w:firstLine="0" w:left="0" w:right="0"/>
        <w:jc w:val="both"/>
      </w:pPr>
      <w:r>
        <w:rPr>
          <w:rFonts w:ascii="Merriweather Sans Light" w:hAnsi="Merriweather Sans Light"/>
          <w:sz w:val="24"/>
        </w:rPr>
        <w:t>6. Quando o certificado for obtido de forma irregular, as Instituições Competentes dos Estados Contratantes poderão decidir de comum acordo por anular o certificado emitido.</w:t>
      </w:r>
    </w:p>
    <w:p>
      <w:pPr>
        <w:spacing w:line="240" w:lineRule="auto" w:after="120"/>
        <w:ind w:firstLine="0" w:left="0" w:right="0"/>
        <w:jc w:val="both"/>
      </w:pPr>
      <w:r>
        <w:rPr>
          <w:rFonts w:ascii="Merriweather Sans Light" w:hAnsi="Merriweather Sans Light"/>
          <w:sz w:val="24"/>
        </w:rPr>
        <w:t>7. Qualquer modificação dos períodos de deslocamento certificados previamente deverá ser comunicada ao Organismo do outro Estado Contratante, mencionado no parágrafo 2 do presente artigo.</w:t>
      </w:r>
    </w:p>
    <w:p>
      <w:pPr>
        <w:spacing w:line="240" w:lineRule="auto" w:after="120" w:before="240"/>
        <w:ind w:firstLine="0" w:left="0" w:right="0"/>
        <w:jc w:val="center"/>
      </w:pPr>
      <w:r>
        <w:rPr>
          <w:rFonts w:ascii="Merriweather Sans Light" w:hAnsi="Merriweather Sans Light"/>
          <w:b/>
          <w:sz w:val="24"/>
        </w:rPr>
        <w:t>TÍTULO III</w:t>
      </w:r>
    </w:p>
    <w:p>
      <w:pPr>
        <w:spacing w:line="240" w:lineRule="auto" w:after="120" w:before="240"/>
        <w:ind w:firstLine="0" w:left="0" w:right="0"/>
        <w:jc w:val="center"/>
      </w:pPr>
      <w:r>
        <w:rPr>
          <w:rFonts w:ascii="Merriweather Sans Light" w:hAnsi="Merriweather Sans Light"/>
          <w:b/>
          <w:sz w:val="24"/>
        </w:rPr>
        <w:t>DISPOSIÇÕES PARTICULARES</w:t>
      </w:r>
    </w:p>
    <w:p>
      <w:pPr>
        <w:spacing w:line="240" w:lineRule="auto" w:after="120" w:before="240"/>
        <w:ind w:firstLine="0" w:left="0" w:right="0"/>
        <w:jc w:val="center"/>
      </w:pPr>
      <w:r>
        <w:rPr>
          <w:rFonts w:ascii="Merriweather Sans Light" w:hAnsi="Merriweather Sans Light"/>
          <w:b/>
          <w:sz w:val="24"/>
        </w:rPr>
        <w:t>Artigo 5</w:t>
      </w:r>
    </w:p>
    <w:p>
      <w:pPr>
        <w:spacing w:line="240" w:lineRule="auto" w:after="120"/>
        <w:ind w:firstLine="0" w:left="0" w:right="0"/>
        <w:jc w:val="both"/>
      </w:pPr>
      <w:r>
        <w:rPr>
          <w:rFonts w:ascii="Merriweather Sans Light" w:hAnsi="Merriweather Sans Light"/>
          <w:sz w:val="24"/>
        </w:rPr>
        <w:t>Apresentação das solicitações de benefícios</w:t>
      </w:r>
    </w:p>
    <w:p>
      <w:pPr>
        <w:spacing w:line="240" w:lineRule="auto" w:after="120"/>
        <w:ind w:firstLine="0" w:left="0" w:right="0"/>
        <w:jc w:val="both"/>
      </w:pPr>
      <w:r>
        <w:rPr>
          <w:rFonts w:ascii="Merriweather Sans Light" w:hAnsi="Merriweather Sans Light"/>
          <w:sz w:val="24"/>
        </w:rPr>
        <w:t>1. O requerente deverá apresentar, junto à Instituição Competente do Estado de sua residência, a sua solicitação de benefício juntando todos os documentos disponíveis e que podem ser exigidos conforme a legislação do outro Estado Contratante, com vistas a determinar o direito do requerente à prestação em causa. A solicitação, bem como os documentos juntados, serão transmitidos, sem demora, pela Instituição Competente do Estado de sua residência, ao Organismo de Ligação desse mesmo Estado. Semelhante solicitação deverá ser apresentada em conformidade com o procedimento previsto pela legislação do Estado de sua residência. O Organismo de Ligação que recebe tal solicitação a envia, sem demora, para o Organismo de Ligação do outro Estado utilizando os formulários previstos para esse efeito. Este último Organismo enviará a solicitação à Instituição Competente de seu Estado.</w:t>
      </w:r>
    </w:p>
    <w:p>
      <w:pPr>
        <w:spacing w:line="240" w:lineRule="auto" w:after="120"/>
        <w:ind w:firstLine="0" w:left="0" w:right="0"/>
        <w:jc w:val="both"/>
      </w:pPr>
      <w:r>
        <w:rPr>
          <w:rFonts w:ascii="Merriweather Sans Light" w:hAnsi="Merriweather Sans Light"/>
          <w:sz w:val="24"/>
        </w:rPr>
        <w:t>2. Os dados relativos aos dados cadastrais contidos no formulário de solicitação serão devidamente autenticados pelo Organismo de Ligação, que confirmará que os documentos originais corroboram esses dados.</w:t>
      </w:r>
    </w:p>
    <w:p>
      <w:pPr>
        <w:spacing w:line="240" w:lineRule="auto" w:after="120"/>
        <w:ind w:firstLine="0" w:left="0" w:right="0"/>
        <w:jc w:val="both"/>
      </w:pPr>
      <w:r>
        <w:rPr>
          <w:rFonts w:ascii="Merriweather Sans Light" w:hAnsi="Merriweather Sans Light"/>
          <w:sz w:val="24"/>
        </w:rPr>
        <w:t>3. a) Além disso, o Organismo de Ligação enviará ao Organismo de Ligação do outro Estado Contratante um formulário indicando os períodos de seguro cumpridos nos termos da legislação do primeiro Estado.</w:t>
      </w:r>
    </w:p>
    <w:p>
      <w:pPr>
        <w:spacing w:line="240" w:lineRule="auto" w:after="120"/>
        <w:ind w:firstLine="0" w:left="0" w:right="0"/>
        <w:jc w:val="both"/>
      </w:pPr>
      <w:r>
        <w:rPr>
          <w:rFonts w:ascii="Merriweather Sans Light" w:hAnsi="Merriweather Sans Light"/>
          <w:sz w:val="24"/>
        </w:rPr>
        <w:t>b) Depois de receber o formulário, o Organismo de Ligação do outro Estado Contratante adicionará a ele as informações relativas aos períodos de seguro cumpridos nos termos da legislação que se aplica e prontamente o enviará de volta ao Organismo de Ligação do primeiro Estado.</w:t>
      </w:r>
    </w:p>
    <w:p>
      <w:pPr>
        <w:spacing w:line="240" w:lineRule="auto" w:after="120"/>
        <w:ind w:firstLine="0" w:left="0" w:right="0"/>
        <w:jc w:val="both"/>
      </w:pPr>
      <w:r>
        <w:rPr>
          <w:rFonts w:ascii="Merriweather Sans Light" w:hAnsi="Merriweather Sans Light"/>
          <w:sz w:val="24"/>
        </w:rPr>
        <w:t>4. a) Cada uma das Instituições Competentes determinará os direitos do requerente e, se for o caso, dos membros de sua família e enviará sua decisão a seu Organismo de Ligação, bem como uma cópia dessa decisão ao requerente. Este último Organismo enviará essa decisão, que deve especificar, ainda, os meios e prazos para recurso previstos por sua legislação, ao Organismo de Ligação do Estado de sua residência junto ao qual a solicitação foi apresentada. Este último Organismo notificará a decisão ao requerente. Os prazos para recurso começam a correr a partir da data de recebimento da notificação da decisão pelo requerente.</w:t>
      </w:r>
    </w:p>
    <w:p>
      <w:pPr>
        <w:spacing w:line="240" w:lineRule="auto" w:after="120"/>
        <w:ind w:firstLine="0" w:left="0" w:right="0"/>
        <w:jc w:val="both"/>
      </w:pPr>
      <w:r>
        <w:rPr>
          <w:rFonts w:ascii="Merriweather Sans Light" w:hAnsi="Merriweather Sans Light"/>
          <w:sz w:val="24"/>
        </w:rPr>
        <w:t>b) Simultaneamente, este Organismo informa o Organismo de Ligação do outro Estado Contratante sobre a notificação da decisão referida na letra a), bem como sobre sua própria decisão e lhe informa, se for o caso, de forma motivada, o montante da quantia que ele deve recuperar, em aplicação do artigo 25 do Acordo.</w:t>
      </w:r>
    </w:p>
    <w:p>
      <w:pPr>
        <w:spacing w:line="240" w:lineRule="auto" w:after="120"/>
        <w:ind w:firstLine="0" w:left="0" w:right="0"/>
        <w:jc w:val="both"/>
      </w:pPr>
      <w:r>
        <w:rPr>
          <w:rFonts w:ascii="Merriweather Sans Light" w:hAnsi="Merriweather Sans Light"/>
          <w:sz w:val="24"/>
        </w:rPr>
        <w:t>5. a) Quando o Organismo de Ligação do Estado de residência tiver conhecimento de que o beneficiário de aposentadoria por invalidez, aposentadoria por idade ou pensão por morte do outro Estado Contratante, ou eventualmente seu cônjuge, não cessou sua atividade profissional ou retomou tal atividade, ele avisará, imediatamente, o Organismo de Ligação desse Estado Contratante.</w:t>
      </w:r>
    </w:p>
    <w:p>
      <w:pPr>
        <w:spacing w:line="240" w:lineRule="auto" w:after="120"/>
        <w:ind w:firstLine="0" w:left="0" w:right="0"/>
        <w:jc w:val="both"/>
      </w:pPr>
      <w:r>
        <w:rPr>
          <w:rFonts w:ascii="Merriweather Sans Light" w:hAnsi="Merriweather Sans Light"/>
          <w:sz w:val="24"/>
        </w:rPr>
        <w:t>b) O Organismo de Ligação do Estado de residência transmitirá, ainda, todas as informações disponíveis sobre a natureza do trabalho realizado e sobre o montante dos rendimentos ou recursos dos quais o interessado ou um dos membros de sua família se beneficia ou beneficiou.</w:t>
      </w:r>
    </w:p>
    <w:p>
      <w:pPr>
        <w:spacing w:line="240" w:lineRule="auto" w:after="120"/>
        <w:ind w:firstLine="0" w:left="0" w:right="0"/>
        <w:jc w:val="both"/>
      </w:pPr>
      <w:r>
        <w:rPr>
          <w:rFonts w:ascii="Merriweather Sans Light" w:hAnsi="Merriweather Sans Light"/>
          <w:sz w:val="24"/>
        </w:rPr>
        <w:t>6. O Organismo de Ligação do Estado Contratante onde reside o beneficiário de aposentadoria por idade, pensão por morte ou aposentadoria por invalidez do outro Estado Contratante, bem como seu cônjuge, se for o caso, informará o Organismo de Ligação deste último Estado em caso de falecimento do beneficiário ou de seu cônjuge.</w:t>
      </w:r>
    </w:p>
    <w:p>
      <w:pPr>
        <w:spacing w:line="240" w:lineRule="auto" w:after="120" w:before="240"/>
        <w:ind w:firstLine="0" w:left="0" w:right="0"/>
        <w:jc w:val="center"/>
      </w:pPr>
      <w:r>
        <w:rPr>
          <w:rFonts w:ascii="Merriweather Sans Light" w:hAnsi="Merriweather Sans Light"/>
          <w:b/>
          <w:sz w:val="24"/>
        </w:rPr>
        <w:t>Artigo 6</w:t>
      </w:r>
    </w:p>
    <w:p>
      <w:pPr>
        <w:spacing w:line="240" w:lineRule="auto" w:after="120"/>
        <w:ind w:firstLine="0" w:left="0" w:right="0"/>
        <w:jc w:val="both"/>
      </w:pPr>
      <w:r>
        <w:rPr>
          <w:rFonts w:ascii="Merriweather Sans Light" w:hAnsi="Merriweather Sans Light"/>
          <w:sz w:val="24"/>
        </w:rPr>
        <w:t>Pagamento dos benefícios As Instituições Competentes devem pagar os benefícios aos seus beneficiários mediante pagamento direto. Contudo, em caso de aplicação do artigo 25 do Acordo, as quantias pagas indevidamente pela Instituição Competente de um Estado Contratante deverão ser deduzidas pela Instituição Competente do outro Estado Contratante. Essa dedução será realizada sobre as quantias dos benefícios a cargo desta última Instituição e será transferida para a Instituição Credora, por intermédio do Organismo de Ligação.</w:t>
      </w:r>
    </w:p>
    <w:p>
      <w:pPr>
        <w:spacing w:line="240" w:lineRule="auto" w:after="120" w:before="240"/>
        <w:ind w:firstLine="0" w:left="0" w:right="0"/>
        <w:jc w:val="center"/>
      </w:pPr>
      <w:r>
        <w:rPr>
          <w:rFonts w:ascii="Merriweather Sans Light" w:hAnsi="Merriweather Sans Light"/>
          <w:b/>
          <w:sz w:val="24"/>
        </w:rPr>
        <w:t>Artigo 7</w:t>
      </w:r>
    </w:p>
    <w:p>
      <w:pPr>
        <w:spacing w:line="240" w:lineRule="auto" w:after="120"/>
        <w:ind w:firstLine="0" w:left="0" w:right="0"/>
        <w:jc w:val="both"/>
      </w:pPr>
      <w:r>
        <w:rPr>
          <w:rFonts w:ascii="Merriweather Sans Light" w:hAnsi="Merriweather Sans Light"/>
          <w:sz w:val="24"/>
        </w:rPr>
        <w:t>Informações estatísticas Os Organismos de Ligação trocarão anualmente as informações estatísticas sobre o número de pagamentos efetuados no outro Estado Contratante, bem como sobre os montantes devidos.</w:t>
      </w:r>
    </w:p>
    <w:p>
      <w:pPr>
        <w:spacing w:line="240" w:lineRule="auto" w:after="120" w:before="240"/>
        <w:ind w:firstLine="0" w:left="0" w:right="0"/>
        <w:jc w:val="center"/>
      </w:pPr>
      <w:r>
        <w:rPr>
          <w:rFonts w:ascii="Merriweather Sans Light" w:hAnsi="Merriweather Sans Light"/>
          <w:b/>
          <w:sz w:val="24"/>
        </w:rPr>
        <w:t>Artigo 8</w:t>
      </w:r>
    </w:p>
    <w:p>
      <w:pPr>
        <w:spacing w:line="240" w:lineRule="auto" w:after="120"/>
        <w:ind w:firstLine="0" w:left="0" w:right="0"/>
        <w:jc w:val="both"/>
      </w:pPr>
      <w:r>
        <w:rPr>
          <w:rFonts w:ascii="Merriweather Sans Light" w:hAnsi="Merriweather Sans Light"/>
          <w:sz w:val="24"/>
        </w:rPr>
        <w:t>Controle administrativo e exame médico</w:t>
      </w:r>
    </w:p>
    <w:p>
      <w:pPr>
        <w:spacing w:line="240" w:lineRule="auto" w:after="120"/>
        <w:ind w:firstLine="0" w:left="0" w:right="0"/>
        <w:jc w:val="both"/>
      </w:pPr>
      <w:r>
        <w:rPr>
          <w:rFonts w:ascii="Merriweather Sans Light" w:hAnsi="Merriweather Sans Light"/>
          <w:sz w:val="24"/>
        </w:rPr>
        <w:t>1. O Organismo de Ligação de um Estado Contratante fornecerá, conforme solicitação, ao Organismo de Ligação do outro Estado, todas as informações e documentação médica relativas à incapacidade do requerente ou beneficiário. Este último Organismo poderá, se necessário, solicitar outros exames médicos.</w:t>
      </w:r>
    </w:p>
    <w:p>
      <w:pPr>
        <w:spacing w:line="240" w:lineRule="auto" w:after="120"/>
        <w:ind w:firstLine="0" w:left="0" w:right="0"/>
        <w:jc w:val="both"/>
      </w:pPr>
      <w:r>
        <w:rPr>
          <w:rFonts w:ascii="Merriweather Sans Light" w:hAnsi="Merriweather Sans Light"/>
          <w:sz w:val="24"/>
        </w:rPr>
        <w:t>2. Se o beneficiário permanece ou reside em território do outro Estado que não aquele onde se localiza a Instituição Competente, o controle administrativo e o exame médico serão realizados, a pedido desta Instituição, pela Instituição Competente do local de permanência ou residência do beneficiário, conforme as modalidades previstas pela legislação que esta última Instituição aplica. Todavia, a Instituição Competente reserva-se o direito de designar um médico de sua escolha para proceder ao exame do beneficiário.</w:t>
      </w:r>
    </w:p>
    <w:p>
      <w:pPr>
        <w:spacing w:line="240" w:lineRule="auto" w:after="120"/>
        <w:ind w:firstLine="0" w:left="0" w:right="0"/>
        <w:jc w:val="both"/>
      </w:pPr>
      <w:r>
        <w:rPr>
          <w:rFonts w:ascii="Merriweather Sans Light" w:hAnsi="Merriweather Sans Light"/>
          <w:sz w:val="24"/>
        </w:rPr>
        <w:t>3. As despesas relativas aos exames médicos solicitados serão reembolsadas pela Instituição Competente que os solicitou. O reembolso será feito anualmente, o mais rapidamente possível, à Instituição Competente que realizou os referidos exames com base em sua tabela de custos e apresentação de uma nota detalhada das despesas efetuadas. Tais despesas não serão reembolsadas quando a avaliação for realizada no interesse dos dois Estados Contratantes.</w:t>
      </w:r>
    </w:p>
    <w:p>
      <w:pPr>
        <w:spacing w:line="240" w:lineRule="auto" w:after="120" w:before="240"/>
        <w:ind w:firstLine="0" w:left="0" w:right="0"/>
        <w:jc w:val="center"/>
      </w:pPr>
      <w:r>
        <w:rPr>
          <w:rFonts w:ascii="Merriweather Sans Light" w:hAnsi="Merriweather Sans Light"/>
          <w:b/>
          <w:sz w:val="24"/>
        </w:rPr>
        <w:t>Artigo 9</w:t>
      </w:r>
    </w:p>
    <w:p>
      <w:pPr>
        <w:spacing w:line="240" w:lineRule="auto" w:after="120"/>
        <w:ind w:firstLine="0" w:left="0" w:right="0"/>
        <w:jc w:val="both"/>
      </w:pPr>
      <w:r>
        <w:rPr>
          <w:rFonts w:ascii="Merriweather Sans Light" w:hAnsi="Merriweather Sans Light"/>
          <w:sz w:val="24"/>
        </w:rPr>
        <w:t>Confidencialidade dos dados em caráter privado Todas as informações às quais se faz referência no presente Ajuste poderão unicamente ser utilizadas no quadro da aplicação do Acordo e em conformidade com a legislação relativa à confidencialidade dos dados em caráter privado do Estado cuja legislação se aplica.</w:t>
      </w:r>
    </w:p>
    <w:p>
      <w:pPr>
        <w:spacing w:line="240" w:lineRule="auto" w:after="120" w:before="240"/>
        <w:ind w:firstLine="0" w:left="0" w:right="0"/>
        <w:jc w:val="center"/>
      </w:pPr>
      <w:r>
        <w:rPr>
          <w:rFonts w:ascii="Merriweather Sans Light" w:hAnsi="Merriweather Sans Light"/>
          <w:b/>
          <w:sz w:val="24"/>
        </w:rPr>
        <w:t>TÍTULO IV</w:t>
      </w:r>
    </w:p>
    <w:p>
      <w:pPr>
        <w:spacing w:line="240" w:lineRule="auto" w:after="120" w:before="240"/>
        <w:ind w:firstLine="0" w:left="0" w:right="0"/>
        <w:jc w:val="center"/>
      </w:pPr>
      <w:r>
        <w:rPr>
          <w:rFonts w:ascii="Merriweather Sans Light" w:hAnsi="Merriweather Sans Light"/>
          <w:b/>
          <w:sz w:val="24"/>
        </w:rPr>
        <w:t>DISPOSIÇÕES DIVERSAS</w:t>
      </w:r>
    </w:p>
    <w:p>
      <w:pPr>
        <w:spacing w:line="240" w:lineRule="auto" w:after="120" w:before="240"/>
        <w:ind w:firstLine="0" w:left="0" w:right="0"/>
        <w:jc w:val="center"/>
      </w:pPr>
      <w:r>
        <w:rPr>
          <w:rFonts w:ascii="Merriweather Sans Light" w:hAnsi="Merriweather Sans Light"/>
          <w:b/>
          <w:sz w:val="24"/>
        </w:rPr>
        <w:t>Artigo 10</w:t>
      </w:r>
    </w:p>
    <w:p>
      <w:pPr>
        <w:spacing w:line="240" w:lineRule="auto" w:after="120"/>
        <w:ind w:firstLine="0" w:left="0" w:right="0"/>
        <w:jc w:val="both"/>
      </w:pPr>
      <w:r>
        <w:rPr>
          <w:rFonts w:ascii="Merriweather Sans Light" w:hAnsi="Merriweather Sans Light"/>
          <w:sz w:val="24"/>
        </w:rPr>
        <w:t>Certificados, Atestados e Formulários O modelo dos certificados, atestados ou formulários necessários para a implementação do Acordo e do Ajuste serão estabelecidos, de comum acordo, pelos Organismos de Ligação de ambos os Estados Contratantes, e está sujeito à aprovação das autoridades competentes.</w:t>
      </w:r>
    </w:p>
    <w:p>
      <w:pPr>
        <w:spacing w:line="240" w:lineRule="auto" w:after="120" w:before="240"/>
        <w:ind w:firstLine="0" w:left="0" w:right="0"/>
        <w:jc w:val="center"/>
      </w:pPr>
      <w:r>
        <w:rPr>
          <w:rFonts w:ascii="Merriweather Sans Light" w:hAnsi="Merriweather Sans Light"/>
          <w:b/>
          <w:sz w:val="24"/>
        </w:rPr>
        <w:t>Artigo 11</w:t>
      </w:r>
    </w:p>
    <w:p>
      <w:pPr>
        <w:spacing w:line="240" w:lineRule="auto" w:after="120"/>
        <w:ind w:firstLine="0" w:left="0" w:right="0"/>
        <w:jc w:val="both"/>
      </w:pPr>
      <w:r>
        <w:rPr>
          <w:rFonts w:ascii="Merriweather Sans Light" w:hAnsi="Merriweather Sans Light"/>
          <w:sz w:val="24"/>
        </w:rPr>
        <w:t>Comunicações As comunicações entre os Estados Contratantes poderão ser realizadas por via eletrônica.</w:t>
      </w:r>
    </w:p>
    <w:p>
      <w:pPr>
        <w:spacing w:line="240" w:lineRule="auto" w:after="120" w:before="240"/>
        <w:ind w:firstLine="0" w:left="0" w:right="0"/>
        <w:jc w:val="center"/>
      </w:pPr>
      <w:r>
        <w:rPr>
          <w:rFonts w:ascii="Merriweather Sans Light" w:hAnsi="Merriweather Sans Light"/>
          <w:b/>
          <w:sz w:val="24"/>
        </w:rPr>
        <w:t>Artigo 12</w:t>
      </w:r>
    </w:p>
    <w:p>
      <w:pPr>
        <w:spacing w:line="240" w:lineRule="auto" w:after="120"/>
        <w:ind w:firstLine="0" w:left="0" w:right="0"/>
        <w:jc w:val="both"/>
      </w:pPr>
      <w:r>
        <w:rPr>
          <w:rFonts w:ascii="Merriweather Sans Light" w:hAnsi="Merriweather Sans Light"/>
          <w:sz w:val="24"/>
        </w:rPr>
        <w:t>Entrada em Vigor O presente Ajuste entrará em vigor na mesma data do Acordo e terá igual duração.</w:t>
      </w:r>
    </w:p>
    <w:p>
      <w:pPr>
        <w:spacing w:line="240" w:lineRule="auto" w:after="120"/>
        <w:ind w:firstLine="0" w:left="0" w:right="0"/>
        <w:jc w:val="both"/>
      </w:pPr>
      <w:r>
        <w:rPr>
          <w:rFonts w:ascii="Merriweather Sans Light" w:hAnsi="Merriweather Sans Light"/>
          <w:b/>
          <w:sz w:val="24"/>
        </w:rPr>
        <w:t>Feito em Brasília, em 6 de dezembro de 2011, em dois exemplares, nos idiomas português, francês e holandês, sendo os três textos igualmente autênticos.</w:t>
      </w:r>
    </w:p>
    <w:p>
      <w:pPr>
        <w:spacing w:line="240" w:lineRule="auto" w:after="120" w:before="240"/>
        <w:ind w:firstLine="0" w:left="0" w:right="0"/>
        <w:jc w:val="center"/>
      </w:pPr>
      <w:r>
        <w:rPr>
          <w:rFonts w:ascii="Merriweather Sans Light" w:hAnsi="Merriweather Sans Light"/>
          <w:b/>
          <w:sz w:val="24"/>
        </w:rPr>
        <w:t>PELA AUTORIDADE COMPETENTE BRASILEIRA</w:t>
      </w:r>
    </w:p>
    <w:p>
      <w:pPr>
        <w:spacing w:line="240" w:lineRule="auto" w:after="120"/>
        <w:ind w:firstLine="0" w:left="0" w:right="0"/>
        <w:jc w:val="both"/>
      </w:pPr>
      <w:r>
        <w:rPr>
          <w:rFonts w:ascii="Merriweather Sans Light" w:hAnsi="Merriweather Sans Light"/>
          <w:sz w:val="24"/>
        </w:rPr>
        <w:t>Garibaldi Alves Filho Carlos Eduardo Gabas</w:t>
      </w:r>
    </w:p>
    <w:p>
      <w:pPr>
        <w:spacing w:line="240" w:lineRule="auto" w:after="120" w:before="240"/>
        <w:ind w:firstLine="0" w:left="0" w:right="0"/>
        <w:jc w:val="center"/>
      </w:pPr>
      <w:r>
        <w:rPr>
          <w:rFonts w:ascii="Merriweather Sans Light" w:hAnsi="Merriweather Sans Light"/>
          <w:b/>
          <w:sz w:val="24"/>
        </w:rPr>
        <w:t>PELA AUTORIDADE COMPETENTE BELGA</w:t>
      </w:r>
    </w:p>
    <w:p>
      <w:pPr>
        <w:spacing w:line="240" w:lineRule="auto" w:after="120"/>
        <w:ind w:firstLine="0" w:left="0" w:right="0"/>
        <w:jc w:val="both"/>
      </w:pPr>
      <w:r>
        <w:rPr>
          <w:rFonts w:ascii="Merriweather Sans Light" w:hAnsi="Merriweather Sans Light"/>
          <w:sz w:val="24"/>
        </w:rPr>
        <w:t>Claude Misson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rriweather Sans Light" w:hAnsi="Merriweather Sans Light"/>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