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Ajuste para a Execução do Acordo de Previdência Social entre o Governo da República Federativa do Brasil e o Governo da República Helênica O Governo da República Federativa do Brasil e O Governo da República Helênica, considerando o estipulado no Acordo de Previdência Social entre o Governo da República Federativa do Brasil Governo da República Helênica, firmado em 12 de setembro de 1984, Acordam o seguinte :</w:t>
      </w:r>
    </w:p>
    <w:p>
      <w:pPr>
        <w:spacing w:line="240" w:lineRule="auto" w:after="120" w:before="240"/>
        <w:ind w:firstLine="0" w:left="0" w:right="0"/>
        <w:jc w:val="center"/>
      </w:pPr>
      <w:r>
        <w:rPr>
          <w:rFonts w:ascii="Merriweather Sans Light" w:hAnsi="Merriweather Sans Light"/>
          <w:b/>
          <w:sz w:val="24"/>
        </w:rPr>
        <w:t>PARTE I</w:t>
      </w:r>
    </w:p>
    <w:p>
      <w:pPr>
        <w:spacing w:line="240" w:lineRule="auto" w:after="120"/>
        <w:ind w:firstLine="0" w:left="0" w:right="0"/>
        <w:jc w:val="both"/>
      </w:pPr>
      <w:r>
        <w:rPr>
          <w:rFonts w:ascii="Merriweather Sans Light" w:hAnsi="Merriweather Sans Light"/>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Para fins de aplicação do presente Ajuste: o termo "Acordo" designa o Acordo de Seguridade Social entre o Governo da República Federativa do Brasil e o Governo da República Helênica;</w:t>
      </w:r>
    </w:p>
    <w:p>
      <w:pPr>
        <w:spacing w:line="240" w:lineRule="auto" w:after="120"/>
        <w:ind w:firstLine="0" w:left="0" w:right="0"/>
        <w:jc w:val="both"/>
      </w:pPr>
      <w:r>
        <w:rPr>
          <w:rFonts w:ascii="Merriweather Sans Light" w:hAnsi="Merriweather Sans Light"/>
          <w:sz w:val="24"/>
        </w:rPr>
        <w:t>b) o termo "Ajuste" designa o presente Ajuste para a Execução do Acordo.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1. De acordo com as disposições do parágrafo I do Artigo XXIII do Acordo, os</w:t>
      </w:r>
    </w:p>
    <w:p>
      <w:pPr>
        <w:spacing w:line="240" w:lineRule="auto" w:after="120"/>
        <w:ind w:firstLine="0" w:left="0" w:right="0"/>
        <w:jc w:val="both"/>
      </w:pPr>
      <w:r>
        <w:rPr>
          <w:rFonts w:ascii="Merriweather Sans Light" w:hAnsi="Merriweather Sans Light"/>
          <w:sz w:val="24"/>
        </w:rPr>
        <w:t>organismos de ligação designados por cada um dos Estados contratantes são:</w:t>
      </w:r>
    </w:p>
    <w:p>
      <w:pPr>
        <w:spacing w:line="240" w:lineRule="auto" w:after="120"/>
        <w:ind w:firstLine="0" w:left="0" w:right="0"/>
        <w:jc w:val="both"/>
      </w:pPr>
      <w:r>
        <w:rPr>
          <w:rFonts w:ascii="Merriweather Sans Light" w:hAnsi="Merriweather Sans Light"/>
          <w:sz w:val="24"/>
        </w:rPr>
        <w:t>a) no Brasil:</w:t>
      </w:r>
    </w:p>
    <w:p>
      <w:pPr>
        <w:spacing w:line="240" w:lineRule="auto" w:after="120"/>
        <w:ind w:firstLine="0" w:left="0" w:right="0"/>
        <w:jc w:val="both"/>
      </w:pPr>
      <w:r>
        <w:rPr>
          <w:rFonts w:ascii="Merriweather Sans Light" w:hAnsi="Merriweather Sans Light"/>
          <w:sz w:val="24"/>
        </w:rPr>
        <w:t>o Instituto Nacional do Seguro Social (INSS);</w:t>
      </w:r>
    </w:p>
    <w:p>
      <w:pPr>
        <w:spacing w:line="240" w:lineRule="auto" w:after="120"/>
        <w:ind w:firstLine="0" w:left="0" w:right="0"/>
        <w:jc w:val="both"/>
      </w:pPr>
      <w:r>
        <w:rPr>
          <w:rFonts w:ascii="Merriweather Sans Light" w:hAnsi="Merriweather Sans Light"/>
          <w:sz w:val="24"/>
        </w:rPr>
        <w:t>b) na Grécia:</w:t>
      </w:r>
    </w:p>
    <w:p>
      <w:pPr>
        <w:spacing w:line="240" w:lineRule="auto" w:after="120"/>
        <w:ind w:firstLine="0" w:left="0" w:right="0"/>
        <w:jc w:val="both"/>
      </w:pPr>
      <w:r>
        <w:rPr>
          <w:rFonts w:ascii="Merriweather Sans Light" w:hAnsi="Merriweather Sans Light"/>
          <w:sz w:val="24"/>
        </w:rPr>
        <w:t>o Instituto de Seguros Sociais (IKA).</w:t>
      </w:r>
    </w:p>
    <w:p>
      <w:pPr>
        <w:spacing w:line="240" w:lineRule="auto" w:after="120"/>
        <w:ind w:firstLine="0" w:left="0" w:right="0"/>
        <w:jc w:val="both"/>
      </w:pPr>
      <w:r>
        <w:rPr>
          <w:rFonts w:ascii="Merriweather Sans Light" w:hAnsi="Merriweather Sans Light"/>
          <w:sz w:val="24"/>
        </w:rPr>
        <w:t>2. As instituições competentes no Brasil para tratar das questões referentes ao Acordo</w:t>
      </w:r>
    </w:p>
    <w:p>
      <w:pPr>
        <w:spacing w:line="240" w:lineRule="auto" w:after="120"/>
        <w:ind w:firstLine="0" w:left="0" w:right="0"/>
        <w:jc w:val="both"/>
      </w:pPr>
      <w:r>
        <w:rPr>
          <w:rFonts w:ascii="Merriweather Sans Light" w:hAnsi="Merriweather Sans Light"/>
          <w:sz w:val="24"/>
        </w:rPr>
        <w:t>são:</w:t>
      </w:r>
    </w:p>
    <w:p>
      <w:pPr>
        <w:spacing w:line="240" w:lineRule="auto" w:after="120"/>
        <w:ind w:firstLine="0" w:left="0" w:right="0"/>
        <w:jc w:val="both"/>
      </w:pPr>
      <w:r>
        <w:rPr>
          <w:rFonts w:ascii="Merriweather Sans Light" w:hAnsi="Merriweather Sans Light"/>
          <w:sz w:val="24"/>
        </w:rPr>
        <w:t>a) o Instituto Nacional do Seguro Social - INSS para concessão e manutenção de</w:t>
      </w:r>
    </w:p>
    <w:p>
      <w:pPr>
        <w:spacing w:line="240" w:lineRule="auto" w:after="120"/>
        <w:ind w:firstLine="0" w:left="0" w:right="0"/>
        <w:jc w:val="both"/>
      </w:pPr>
      <w:r>
        <w:rPr>
          <w:rFonts w:ascii="Merriweather Sans Light" w:hAnsi="Merriweather Sans Light"/>
          <w:sz w:val="24"/>
        </w:rPr>
        <w:t>benefícios (prestações pecuniárias); gestão das contribuições previdenciárias;</w:t>
      </w:r>
    </w:p>
    <w:p>
      <w:pPr>
        <w:spacing w:line="240" w:lineRule="auto" w:after="120"/>
        <w:ind w:firstLine="0" w:left="0" w:right="0"/>
        <w:jc w:val="both"/>
      </w:pPr>
      <w:r>
        <w:rPr>
          <w:rFonts w:ascii="Merriweather Sans Light" w:hAnsi="Merriweather Sans Light"/>
          <w:sz w:val="24"/>
        </w:rPr>
        <w:t>b) o Instituto Nacional de Assistência Médica da Previdência Social (INAMPS) - para</w:t>
      </w:r>
    </w:p>
    <w:p>
      <w:pPr>
        <w:spacing w:line="240" w:lineRule="auto" w:after="120"/>
        <w:ind w:firstLine="0" w:left="0" w:right="0"/>
        <w:jc w:val="both"/>
      </w:pPr>
      <w:r>
        <w:rPr>
          <w:rFonts w:ascii="Merriweather Sans Light" w:hAnsi="Merriweather Sans Light"/>
          <w:sz w:val="24"/>
        </w:rPr>
        <w:t>prestação de assistência à saúde;</w:t>
      </w:r>
    </w:p>
    <w:p>
      <w:pPr>
        <w:spacing w:line="240" w:lineRule="auto" w:after="120"/>
        <w:ind w:firstLine="0" w:left="0" w:right="0"/>
        <w:jc w:val="both"/>
      </w:pPr>
      <w:r>
        <w:rPr>
          <w:rFonts w:ascii="Merriweather Sans Light" w:hAnsi="Merriweather Sans Light"/>
          <w:sz w:val="24"/>
        </w:rPr>
        <w:t>3. A instituição competente de cada Estado contratante, assim como qualquer pessoa</w:t>
      </w:r>
    </w:p>
    <w:p>
      <w:pPr>
        <w:spacing w:line="240" w:lineRule="auto" w:after="120"/>
        <w:ind w:firstLine="0" w:left="0" w:right="0"/>
        <w:jc w:val="both"/>
      </w:pPr>
      <w:r>
        <w:rPr>
          <w:rFonts w:ascii="Merriweather Sans Light" w:hAnsi="Merriweather Sans Light"/>
          <w:sz w:val="24"/>
        </w:rPr>
        <w:t>que resida ou permaneça temporariamente no território de um Estado contratante poderá dirigir-se à instituição do outro Estado contratante, diretamente ou por intermédio dos organismos de ligação.</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1. Para beneficiar-se das disposições do Artigo VI do Acordo, o interessado deverá</w:t>
      </w:r>
    </w:p>
    <w:p>
      <w:pPr>
        <w:spacing w:line="240" w:lineRule="auto" w:after="120"/>
        <w:ind w:firstLine="0" w:left="0" w:right="0"/>
        <w:jc w:val="both"/>
      </w:pPr>
      <w:r>
        <w:rPr>
          <w:rFonts w:ascii="Merriweather Sans Light" w:hAnsi="Merriweather Sans Light"/>
          <w:sz w:val="24"/>
        </w:rPr>
        <w:t>apresentar à instituição do Estado contratante em questão uma declaração relativa aos períodos de seguro cumpridos sob a legislação do outro Estado contratante. Essa declaração será fornecida, a pedido do interessado, pela instituição sob cuja legislação tiverem sido cumpridos esses períodos.</w:t>
      </w:r>
    </w:p>
    <w:p>
      <w:pPr>
        <w:spacing w:line="240" w:lineRule="auto" w:after="120"/>
        <w:ind w:firstLine="0" w:left="0" w:right="0"/>
        <w:jc w:val="both"/>
      </w:pPr>
      <w:r>
        <w:rPr>
          <w:rFonts w:ascii="Merriweather Sans Light" w:hAnsi="Merriweather Sans Light"/>
          <w:sz w:val="24"/>
        </w:rPr>
        <w:t>2. No caso em que o interessado não tiver apresentado essa declaração, a instituição</w:t>
      </w:r>
    </w:p>
    <w:p>
      <w:pPr>
        <w:spacing w:line="240" w:lineRule="auto" w:after="120"/>
        <w:ind w:firstLine="0" w:left="0" w:right="0"/>
        <w:jc w:val="both"/>
      </w:pPr>
      <w:r>
        <w:rPr>
          <w:rFonts w:ascii="Merriweather Sans Light" w:hAnsi="Merriweather Sans Light"/>
          <w:sz w:val="24"/>
        </w:rPr>
        <w:t>do Estado contratante em questão obrigar-se-á a solicitá-la à instituição do outro Estado, sob cuja legislação os períodos de seguro tiverem sido cumpridos.</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1. a) As cláusulas para redução ou suspensão das prestações previstas pela legislação</w:t>
      </w:r>
    </w:p>
    <w:p>
      <w:pPr>
        <w:spacing w:line="240" w:lineRule="auto" w:after="120"/>
        <w:ind w:firstLine="0" w:left="0" w:right="0"/>
        <w:jc w:val="both"/>
      </w:pPr>
      <w:r>
        <w:rPr>
          <w:rFonts w:ascii="Merriweather Sans Light" w:hAnsi="Merriweather Sans Light"/>
          <w:sz w:val="24"/>
        </w:rPr>
        <w:t>de um Estado contratante em caso de acúmulo de uma prestação com outras prestações de seguridade social ou em razão do exercício de uma atividade profissional assalariada ou não assalariada, são aplicáveis ao beneficiário mesmo em se tratando de prestações ou de rendas adquiridas sob a legislação do outro Estado ou de uma atividade profissional exercida no território do outro Estado.</w:t>
      </w:r>
    </w:p>
    <w:p>
      <w:pPr>
        <w:spacing w:line="240" w:lineRule="auto" w:after="120"/>
        <w:ind w:firstLine="0" w:left="0" w:right="0"/>
        <w:jc w:val="both"/>
      </w:pPr>
      <w:r>
        <w:rPr>
          <w:rFonts w:ascii="Merriweather Sans Light" w:hAnsi="Merriweather Sans Light"/>
          <w:sz w:val="24"/>
        </w:rPr>
        <w:t>b) Esta regra não se aplica quando o beneficiário recebe pensões da mesma natureza</w:t>
      </w:r>
    </w:p>
    <w:p>
      <w:pPr>
        <w:spacing w:line="240" w:lineRule="auto" w:after="120"/>
        <w:ind w:firstLine="0" w:left="0" w:right="0"/>
        <w:jc w:val="both"/>
      </w:pPr>
      <w:r>
        <w:rPr>
          <w:rFonts w:ascii="Merriweather Sans Light" w:hAnsi="Merriweather Sans Light"/>
          <w:sz w:val="24"/>
        </w:rPr>
        <w:t>por invalidez, velhice ou morte, concedidas pela instituição do outro Estado.</w:t>
      </w:r>
    </w:p>
    <w:p>
      <w:pPr>
        <w:spacing w:line="240" w:lineRule="auto" w:after="120"/>
        <w:ind w:firstLine="0" w:left="0" w:right="0"/>
        <w:jc w:val="both"/>
      </w:pPr>
      <w:r>
        <w:rPr>
          <w:rFonts w:ascii="Merriweather Sans Light" w:hAnsi="Merriweather Sans Light"/>
          <w:sz w:val="24"/>
        </w:rPr>
        <w:t>c) As prestações baseadas no seguro da mesma pessoa são consideradas como</w:t>
      </w:r>
    </w:p>
    <w:p>
      <w:pPr>
        <w:spacing w:line="240" w:lineRule="auto" w:after="120"/>
        <w:ind w:firstLine="0" w:left="0" w:right="0"/>
        <w:jc w:val="both"/>
      </w:pPr>
      <w:r>
        <w:rPr>
          <w:rFonts w:ascii="Merriweather Sans Light" w:hAnsi="Merriweather Sans Light"/>
          <w:sz w:val="24"/>
        </w:rPr>
        <w:t>prestações de mesma espécie.</w:t>
      </w:r>
    </w:p>
    <w:p>
      <w:pPr>
        <w:spacing w:line="240" w:lineRule="auto" w:after="120"/>
        <w:ind w:firstLine="0" w:left="0" w:right="0"/>
        <w:jc w:val="both"/>
      </w:pPr>
      <w:r>
        <w:rPr>
          <w:rFonts w:ascii="Merriweather Sans Light" w:hAnsi="Merriweather Sans Light"/>
          <w:sz w:val="24"/>
        </w:rPr>
        <w:t>2. Em caso de redução ou de suspensão de uma prestação em virtude do parágrafo</w:t>
      </w:r>
    </w:p>
    <w:p>
      <w:pPr>
        <w:spacing w:line="240" w:lineRule="auto" w:after="120"/>
        <w:ind w:firstLine="0" w:left="0" w:right="0"/>
        <w:jc w:val="both"/>
      </w:pPr>
      <w:r>
        <w:rPr>
          <w:rFonts w:ascii="Merriweather Sans Light" w:hAnsi="Merriweather Sans Light"/>
          <w:sz w:val="24"/>
        </w:rPr>
        <w:t>precedente, a instituição competente considerará qualquer outra prestação ou renda somente pela parte que corresponde à proporção entre a prestação parcial que deve ser concedida por esta instituição em virtude do Artigo XV, parágrafo 3, alínea b), do Acordo e o montante teórico mencionado na alínea a) do mesmo parágrafo.</w:t>
      </w:r>
    </w:p>
    <w:p>
      <w:pPr>
        <w:spacing w:line="240" w:lineRule="auto" w:after="120" w:before="240"/>
        <w:ind w:firstLine="0" w:left="0" w:right="0"/>
        <w:jc w:val="center"/>
      </w:pPr>
      <w:r>
        <w:rPr>
          <w:rFonts w:ascii="Merriweather Sans Light" w:hAnsi="Merriweather Sans Light"/>
          <w:b/>
          <w:sz w:val="24"/>
        </w:rPr>
        <w:t>PARTE II</w:t>
      </w:r>
    </w:p>
    <w:p>
      <w:pPr>
        <w:spacing w:line="240" w:lineRule="auto" w:after="120"/>
        <w:ind w:firstLine="0" w:left="0" w:right="0"/>
        <w:jc w:val="both"/>
      </w:pPr>
      <w:r>
        <w:rPr>
          <w:rFonts w:ascii="Merriweather Sans Light" w:hAnsi="Merriweather Sans Light"/>
          <w:sz w:val="24"/>
        </w:rPr>
        <w:t>Disposições Relativas à Legislação Aplicável</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1. Para aplicação do Artigo VIII, alíneas c) e e), do Acordo, no caso em que o</w:t>
      </w:r>
    </w:p>
    <w:p>
      <w:pPr>
        <w:spacing w:line="240" w:lineRule="auto" w:after="120"/>
        <w:ind w:firstLine="0" w:left="0" w:right="0"/>
        <w:jc w:val="both"/>
      </w:pPr>
      <w:r>
        <w:rPr>
          <w:rFonts w:ascii="Merriweather Sans Light" w:hAnsi="Merriweather Sans Light"/>
          <w:sz w:val="24"/>
        </w:rPr>
        <w:t>trabalhador assalariado ou a pessoa que exerça atividade autônoma se desloque para o território do outro Estado contratante para execução de seu trabalho, a instituição competente do Estado contratante cuja legislação é aplicável fornecerá uma declaração indicando especificamente o início e o fim do período durante o qual essas pessoas permanecem sujeitas a esta legislação.</w:t>
      </w:r>
    </w:p>
    <w:p>
      <w:pPr>
        <w:spacing w:line="240" w:lineRule="auto" w:after="120"/>
        <w:ind w:firstLine="0" w:left="0" w:right="0"/>
        <w:jc w:val="both"/>
      </w:pPr>
      <w:r>
        <w:rPr>
          <w:rFonts w:ascii="Merriweather Sans Light" w:hAnsi="Merriweather Sans Light"/>
          <w:sz w:val="24"/>
        </w:rPr>
        <w:t>2. A declaração mencionada no parágrafo precedente será fornecida:</w:t>
      </w:r>
    </w:p>
    <w:p>
      <w:pPr>
        <w:spacing w:line="240" w:lineRule="auto" w:after="120"/>
        <w:ind w:firstLine="0" w:left="0" w:right="0"/>
        <w:jc w:val="both"/>
      </w:pPr>
      <w:r>
        <w:rPr>
          <w:rFonts w:ascii="Merriweather Sans Light" w:hAnsi="Merriweather Sans Light"/>
          <w:sz w:val="24"/>
        </w:rPr>
        <w:t>a) no Brasil: pelo Instituto Nacional do Seguro Social (INSS);</w:t>
      </w:r>
    </w:p>
    <w:p>
      <w:pPr>
        <w:spacing w:line="240" w:lineRule="auto" w:after="120"/>
        <w:ind w:firstLine="0" w:left="0" w:right="0"/>
        <w:jc w:val="both"/>
      </w:pPr>
      <w:r>
        <w:rPr>
          <w:rFonts w:ascii="Merriweather Sans Light" w:hAnsi="Merriweather Sans Light"/>
          <w:sz w:val="24"/>
        </w:rPr>
        <w:t>b) na Grécia: pelo Instituto de Seguros Sociais (IKA).</w:t>
      </w:r>
    </w:p>
    <w:p>
      <w:pPr>
        <w:spacing w:line="240" w:lineRule="auto" w:after="120"/>
        <w:ind w:firstLine="0" w:left="0" w:right="0"/>
        <w:jc w:val="both"/>
      </w:pPr>
      <w:r>
        <w:rPr>
          <w:rFonts w:ascii="Merriweather Sans Light" w:hAnsi="Merriweather Sans Light"/>
          <w:sz w:val="24"/>
        </w:rPr>
        <w:t>3. Para aplicação do Artigo VIII, alínea d), e do Artigo IX do Acordo, o empregador ou</w:t>
      </w:r>
    </w:p>
    <w:p>
      <w:pPr>
        <w:spacing w:line="240" w:lineRule="auto" w:after="120"/>
        <w:ind w:firstLine="0" w:left="0" w:right="0"/>
        <w:jc w:val="both"/>
      </w:pPr>
      <w:r>
        <w:rPr>
          <w:rFonts w:ascii="Merriweather Sans Light" w:hAnsi="Merriweather Sans Light"/>
          <w:sz w:val="24"/>
        </w:rPr>
        <w:t>o trabalhador deverá solicitar, à autoridade competente do Estado em cujo território o trabalhador exerça sua atividade, autorização explícita para continuar submetido à legislação do outro Estado.</w:t>
      </w:r>
    </w:p>
    <w:p>
      <w:pPr>
        <w:spacing w:line="240" w:lineRule="auto" w:after="120"/>
        <w:ind w:firstLine="0" w:left="0" w:right="0"/>
        <w:jc w:val="both"/>
      </w:pPr>
      <w:r>
        <w:rPr>
          <w:rFonts w:ascii="Merriweather Sans Light" w:hAnsi="Merriweather Sans Light"/>
          <w:sz w:val="24"/>
        </w:rPr>
        <w:t>4. Esta autorização será concedida:</w:t>
      </w:r>
    </w:p>
    <w:p>
      <w:pPr>
        <w:spacing w:line="240" w:lineRule="auto" w:after="120"/>
        <w:ind w:firstLine="0" w:left="0" w:right="0"/>
        <w:jc w:val="both"/>
      </w:pPr>
      <w:r>
        <w:rPr>
          <w:rFonts w:ascii="Merriweather Sans Light" w:hAnsi="Merriweather Sans Light"/>
          <w:sz w:val="24"/>
        </w:rPr>
        <w:t>a) no Brasil: pelo Ministério da Previdência Social;</w:t>
      </w:r>
    </w:p>
    <w:p>
      <w:pPr>
        <w:spacing w:line="240" w:lineRule="auto" w:after="120"/>
        <w:ind w:firstLine="0" w:left="0" w:right="0"/>
        <w:jc w:val="both"/>
      </w:pPr>
      <w:r>
        <w:rPr>
          <w:rFonts w:ascii="Merriweather Sans Light" w:hAnsi="Merriweather Sans Light"/>
          <w:sz w:val="24"/>
        </w:rPr>
        <w:t>b) na Grécia: pelo Ministério da Saúde, da Previdência e Seguridade Social.</w:t>
      </w:r>
    </w:p>
    <w:p>
      <w:pPr>
        <w:spacing w:line="240" w:lineRule="auto" w:after="120" w:before="240"/>
        <w:ind w:firstLine="0" w:left="0" w:right="0"/>
        <w:jc w:val="center"/>
      </w:pPr>
      <w:r>
        <w:rPr>
          <w:rFonts w:ascii="Merriweather Sans Light" w:hAnsi="Merriweather Sans Light"/>
          <w:b/>
          <w:sz w:val="24"/>
        </w:rPr>
        <w:t>PARTE III</w:t>
      </w:r>
    </w:p>
    <w:p>
      <w:pPr>
        <w:spacing w:line="240" w:lineRule="auto" w:after="120"/>
        <w:ind w:firstLine="0" w:left="0" w:right="0"/>
        <w:jc w:val="both"/>
      </w:pPr>
      <w:r>
        <w:rPr>
          <w:rFonts w:ascii="Merriweather Sans Light" w:hAnsi="Merriweather Sans Light"/>
          <w:sz w:val="24"/>
        </w:rPr>
        <w:t>Disposições Particulares Relativas às Diferentes Categorias de Prestações</w:t>
      </w:r>
    </w:p>
    <w:p>
      <w:pPr>
        <w:spacing w:line="240" w:lineRule="auto" w:after="120" w:before="240"/>
        <w:ind w:firstLine="0" w:left="0" w:right="0"/>
        <w:jc w:val="center"/>
      </w:pPr>
      <w:r>
        <w:rPr>
          <w:rFonts w:ascii="Merriweather Sans Light" w:hAnsi="Merriweather Sans Light"/>
          <w:b/>
          <w:sz w:val="24"/>
        </w:rPr>
        <w:t>CAPÍTULO I</w:t>
      </w:r>
    </w:p>
    <w:p>
      <w:pPr>
        <w:spacing w:line="240" w:lineRule="auto" w:after="120"/>
        <w:ind w:firstLine="0" w:left="0" w:right="0"/>
        <w:jc w:val="both"/>
      </w:pPr>
      <w:r>
        <w:rPr>
          <w:rFonts w:ascii="Merriweather Sans Light" w:hAnsi="Merriweather Sans Light"/>
          <w:sz w:val="24"/>
        </w:rPr>
        <w:t>Doenças, Maternidade e Prestações Familiares</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1. Para aplicação das disposições do Artigo X do Acordo pela instituição competente de</w:t>
      </w:r>
    </w:p>
    <w:p>
      <w:pPr>
        <w:spacing w:line="240" w:lineRule="auto" w:after="120"/>
        <w:ind w:firstLine="0" w:left="0" w:right="0"/>
        <w:jc w:val="both"/>
      </w:pPr>
      <w:r>
        <w:rPr>
          <w:rFonts w:ascii="Merriweather Sans Light" w:hAnsi="Merriweather Sans Light"/>
          <w:sz w:val="24"/>
        </w:rPr>
        <w:t>um dos Estados contratantes, a instituição competente do outro Estado contratante fornecerá, a pedido do interessado, uma declaração indicando especificamente os períodos de seguro cumpridos sob sua legislação.</w:t>
      </w:r>
    </w:p>
    <w:p>
      <w:pPr>
        <w:spacing w:line="240" w:lineRule="auto" w:after="120"/>
        <w:ind w:firstLine="0" w:left="0" w:right="0"/>
        <w:jc w:val="both"/>
      </w:pPr>
      <w:r>
        <w:rPr>
          <w:rFonts w:ascii="Merriweather Sans Light" w:hAnsi="Merriweather Sans Light"/>
          <w:sz w:val="24"/>
        </w:rPr>
        <w:t>2. Esta declaração será fornecida:</w:t>
      </w:r>
    </w:p>
    <w:p>
      <w:pPr>
        <w:spacing w:line="240" w:lineRule="auto" w:after="120"/>
        <w:ind w:firstLine="0" w:left="0" w:right="0"/>
        <w:jc w:val="both"/>
      </w:pPr>
      <w:r>
        <w:rPr>
          <w:rFonts w:ascii="Merriweather Sans Light" w:hAnsi="Merriweather Sans Light"/>
          <w:sz w:val="24"/>
        </w:rPr>
        <w:t>a) no Brasil, pelo Instituto Nacional do Seguro Social (INSS);</w:t>
      </w:r>
    </w:p>
    <w:p>
      <w:pPr>
        <w:spacing w:line="240" w:lineRule="auto" w:after="120"/>
        <w:ind w:firstLine="0" w:left="0" w:right="0"/>
        <w:jc w:val="both"/>
      </w:pPr>
      <w:r>
        <w:rPr>
          <w:rFonts w:ascii="Merriweather Sans Light" w:hAnsi="Merriweather Sans Light"/>
          <w:sz w:val="24"/>
        </w:rPr>
        <w:t>b) na Grécia, pela Instituição sob cuja legislação os períodos de seguro tenham sido</w:t>
      </w:r>
    </w:p>
    <w:p>
      <w:pPr>
        <w:spacing w:line="240" w:lineRule="auto" w:after="120"/>
        <w:ind w:firstLine="0" w:left="0" w:right="0"/>
        <w:jc w:val="both"/>
      </w:pPr>
      <w:r>
        <w:rPr>
          <w:rFonts w:ascii="Merriweather Sans Light" w:hAnsi="Merriweather Sans Light"/>
          <w:sz w:val="24"/>
        </w:rPr>
        <w:t>cumpridos.</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1. Para aplicação das disposições do Artigo XI, parágrafo 2, do Acordo, o titular de</w:t>
      </w:r>
    </w:p>
    <w:p>
      <w:pPr>
        <w:spacing w:line="240" w:lineRule="auto" w:after="120"/>
        <w:ind w:firstLine="0" w:left="0" w:right="0"/>
        <w:jc w:val="both"/>
      </w:pPr>
      <w:r>
        <w:rPr>
          <w:rFonts w:ascii="Merriweather Sans Light" w:hAnsi="Merriweather Sans Light"/>
          <w:sz w:val="24"/>
        </w:rPr>
        <w:t>uma pensão, bem como os membros de sua família, deverão apresentar à instituição de sua residência uma declaração comprovando seu direito às prestações em espécie adquiridas sob a legislação do Estado competente. Na declaração deve ser mencionada a data do término do direito.</w:t>
      </w:r>
    </w:p>
    <w:p>
      <w:pPr>
        <w:spacing w:line="240" w:lineRule="auto" w:after="120"/>
        <w:ind w:firstLine="0" w:left="0" w:right="0"/>
        <w:jc w:val="both"/>
      </w:pPr>
      <w:r>
        <w:rPr>
          <w:rFonts w:ascii="Merriweather Sans Light" w:hAnsi="Merriweather Sans Light"/>
          <w:sz w:val="24"/>
        </w:rPr>
        <w:t>2. No caso em que o titular da pensão não apresentar a declaração mencionada no</w:t>
      </w:r>
    </w:p>
    <w:p>
      <w:pPr>
        <w:spacing w:line="240" w:lineRule="auto" w:after="120"/>
        <w:ind w:firstLine="0" w:left="0" w:right="0"/>
        <w:jc w:val="both"/>
      </w:pPr>
      <w:r>
        <w:rPr>
          <w:rFonts w:ascii="Merriweather Sans Light" w:hAnsi="Merriweather Sans Light"/>
          <w:sz w:val="24"/>
        </w:rPr>
        <w:t>parágrafo precedente, a instituição do lugar de residência deverá solicitá-la à instituição competente. Sem essa declaração o interessado não poderá solicitar as mencionadas prestações.</w:t>
      </w:r>
    </w:p>
    <w:p>
      <w:pPr>
        <w:spacing w:line="240" w:lineRule="auto" w:after="120"/>
        <w:ind w:firstLine="0" w:left="0" w:right="0"/>
        <w:jc w:val="both"/>
      </w:pPr>
      <w:r>
        <w:rPr>
          <w:rFonts w:ascii="Merriweather Sans Light" w:hAnsi="Merriweather Sans Light"/>
          <w:sz w:val="24"/>
        </w:rPr>
        <w:t>3. Essa declaração permanecerá válida enquanto a instituição do lugar de residência</w:t>
      </w:r>
    </w:p>
    <w:p>
      <w:pPr>
        <w:spacing w:line="240" w:lineRule="auto" w:after="120"/>
        <w:ind w:firstLine="0" w:left="0" w:right="0"/>
        <w:jc w:val="both"/>
      </w:pPr>
      <w:r>
        <w:rPr>
          <w:rFonts w:ascii="Merriweather Sans Light" w:hAnsi="Merriweather Sans Light"/>
          <w:sz w:val="24"/>
        </w:rPr>
        <w:t>não tiver recebido da instituição competente uma notificação de sua anulação.</w:t>
      </w:r>
    </w:p>
    <w:p>
      <w:pPr>
        <w:spacing w:line="240" w:lineRule="auto" w:after="120"/>
        <w:ind w:firstLine="0" w:left="0" w:right="0"/>
        <w:jc w:val="both"/>
      </w:pPr>
      <w:r>
        <w:rPr>
          <w:rFonts w:ascii="Merriweather Sans Light" w:hAnsi="Merriweather Sans Light"/>
          <w:sz w:val="24"/>
        </w:rPr>
        <w:t>4. A instituição do lugar de residência deverá informar à instituição competente da</w:t>
      </w:r>
    </w:p>
    <w:p>
      <w:pPr>
        <w:spacing w:line="240" w:lineRule="auto" w:after="120"/>
        <w:ind w:firstLine="0" w:left="0" w:right="0"/>
        <w:jc w:val="both"/>
      </w:pPr>
      <w:r>
        <w:rPr>
          <w:rFonts w:ascii="Merriweather Sans Light" w:hAnsi="Merriweather Sans Light"/>
          <w:sz w:val="24"/>
        </w:rPr>
        <w:t>inscrição do titular da pensão e de qualquer mudança na situação pessoal do interessado.</w:t>
      </w:r>
    </w:p>
    <w:p>
      <w:pPr>
        <w:spacing w:line="240" w:lineRule="auto" w:after="120"/>
        <w:ind w:firstLine="0" w:left="0" w:right="0"/>
        <w:jc w:val="both"/>
      </w:pPr>
      <w:r>
        <w:rPr>
          <w:rFonts w:ascii="Merriweather Sans Light" w:hAnsi="Merriweather Sans Light"/>
          <w:sz w:val="24"/>
        </w:rPr>
        <w:t>5. A declaração será fornecida:</w:t>
      </w:r>
    </w:p>
    <w:p>
      <w:pPr>
        <w:spacing w:line="240" w:lineRule="auto" w:after="120"/>
        <w:ind w:firstLine="0" w:left="0" w:right="0"/>
        <w:jc w:val="both"/>
      </w:pPr>
      <w:r>
        <w:rPr>
          <w:rFonts w:ascii="Merriweather Sans Light" w:hAnsi="Merriweather Sans Light"/>
          <w:sz w:val="24"/>
        </w:rPr>
        <w:t>a) no Brasil, pela instituição competente;</w:t>
      </w:r>
    </w:p>
    <w:p>
      <w:pPr>
        <w:spacing w:line="240" w:lineRule="auto" w:after="120"/>
        <w:ind w:firstLine="0" w:left="0" w:right="0"/>
        <w:jc w:val="both"/>
      </w:pPr>
      <w:r>
        <w:rPr>
          <w:rFonts w:ascii="Merriweather Sans Light" w:hAnsi="Merriweather Sans Light"/>
          <w:sz w:val="24"/>
        </w:rPr>
        <w:t>b) na Grécia, pela instituição competente.</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1. O montante das prestações em espécie devidas em virtude do Artigo XI, parágrafo</w:t>
      </w:r>
    </w:p>
    <w:p>
      <w:pPr>
        <w:spacing w:line="240" w:lineRule="auto" w:after="120"/>
        <w:ind w:firstLine="0" w:left="0" w:right="0"/>
        <w:jc w:val="both"/>
      </w:pPr>
      <w:r>
        <w:rPr>
          <w:rFonts w:ascii="Merriweather Sans Light" w:hAnsi="Merriweather Sans Light"/>
          <w:sz w:val="24"/>
        </w:rPr>
        <w:t>2, do Acordo será reembolsado pela instituição competente à instituição que prestou o benefício com base em um valor predefinido.</w:t>
      </w:r>
    </w:p>
    <w:p>
      <w:pPr>
        <w:spacing w:line="240" w:lineRule="auto" w:after="120"/>
        <w:ind w:firstLine="0" w:left="0" w:right="0"/>
        <w:jc w:val="both"/>
      </w:pPr>
      <w:r>
        <w:rPr>
          <w:rFonts w:ascii="Merriweather Sans Light" w:hAnsi="Merriweather Sans Light"/>
          <w:sz w:val="24"/>
        </w:rPr>
        <w:t>2. Esse valor será calculado multiplicando-se o custo médio anual por titular pelo</w:t>
      </w:r>
    </w:p>
    <w:p>
      <w:pPr>
        <w:spacing w:line="240" w:lineRule="auto" w:after="120"/>
        <w:ind w:firstLine="0" w:left="0" w:right="0"/>
        <w:jc w:val="both"/>
      </w:pPr>
      <w:r>
        <w:rPr>
          <w:rFonts w:ascii="Merriweather Sans Light" w:hAnsi="Merriweather Sans Light"/>
          <w:sz w:val="24"/>
        </w:rPr>
        <w:t>número anual de titulares, de acordo com os documentos expedidos pelas instituições competentes.</w:t>
      </w:r>
    </w:p>
    <w:p>
      <w:pPr>
        <w:spacing w:line="240" w:lineRule="auto" w:after="120"/>
        <w:ind w:firstLine="0" w:left="0" w:right="0"/>
        <w:jc w:val="both"/>
      </w:pPr>
      <w:r>
        <w:rPr>
          <w:rFonts w:ascii="Merriweather Sans Light" w:hAnsi="Merriweather Sans Light"/>
          <w:sz w:val="24"/>
        </w:rPr>
        <w:t>3. No caso da aplicação do Artigo XII do Acordo, as autoridades competentes dos dois</w:t>
      </w:r>
    </w:p>
    <w:p>
      <w:pPr>
        <w:spacing w:line="240" w:lineRule="auto" w:after="120"/>
        <w:ind w:firstLine="0" w:left="0" w:right="0"/>
        <w:jc w:val="both"/>
      </w:pPr>
      <w:r>
        <w:rPr>
          <w:rFonts w:ascii="Merriweather Sans Light" w:hAnsi="Merriweather Sans Light"/>
          <w:sz w:val="24"/>
        </w:rPr>
        <w:t>Estados contratantes determinarão as modalidades de reembolso das prestações.</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No caso da aplicação das disposições do Artigo XIV do Acordo, as autoridades competentes dos dois Estados contratantes determinarão as modalidades de aplicação desse Artigo.</w:t>
      </w:r>
    </w:p>
    <w:p>
      <w:pPr>
        <w:spacing w:line="240" w:lineRule="auto" w:after="120" w:before="240"/>
        <w:ind w:firstLine="0" w:left="0" w:right="0"/>
        <w:jc w:val="center"/>
      </w:pPr>
      <w:r>
        <w:rPr>
          <w:rFonts w:ascii="Merriweather Sans Light" w:hAnsi="Merriweather Sans Light"/>
          <w:b/>
          <w:sz w:val="24"/>
        </w:rPr>
        <w:t>CAPÍTULO II</w:t>
      </w:r>
    </w:p>
    <w:p>
      <w:pPr>
        <w:spacing w:line="240" w:lineRule="auto" w:after="120"/>
        <w:ind w:firstLine="0" w:left="0" w:right="0"/>
        <w:jc w:val="both"/>
      </w:pPr>
      <w:r>
        <w:rPr>
          <w:rFonts w:ascii="Merriweather Sans Light" w:hAnsi="Merriweather Sans Light"/>
          <w:sz w:val="24"/>
        </w:rPr>
        <w:t>Invalidez, Velhice, Dependentes</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Para os casos mencionados no Artigo XV, parágrafo 1, alínea a) e parágrafo 3, do Acordo, a totalização dos períodos de seguro será efetuada de acordo com as seguintes regras:</w:t>
      </w:r>
    </w:p>
    <w:p>
      <w:pPr>
        <w:spacing w:line="240" w:lineRule="auto" w:after="120"/>
        <w:ind w:firstLine="0" w:left="0" w:right="0"/>
        <w:jc w:val="both"/>
      </w:pPr>
      <w:r>
        <w:rPr>
          <w:rFonts w:ascii="Merriweather Sans Light" w:hAnsi="Merriweather Sans Light"/>
          <w:sz w:val="24"/>
        </w:rPr>
        <w:t>a) aos períodos de seguro cumpridos sob a legislação de um dos Estados contratantes</w:t>
      </w:r>
    </w:p>
    <w:p>
      <w:pPr>
        <w:spacing w:line="240" w:lineRule="auto" w:after="120"/>
        <w:ind w:firstLine="0" w:left="0" w:right="0"/>
        <w:jc w:val="both"/>
      </w:pPr>
      <w:r>
        <w:rPr>
          <w:rFonts w:ascii="Merriweather Sans Light" w:hAnsi="Merriweather Sans Light"/>
          <w:sz w:val="24"/>
        </w:rPr>
        <w:t>acrescentam-se os períodos de seguro cumpridos sob a legislação do outro Estado contratante mesmo que esses períodos tenham sido considerados para concessão de prestações sob a legislação desse Estado;</w:t>
      </w:r>
    </w:p>
    <w:p>
      <w:pPr>
        <w:spacing w:line="240" w:lineRule="auto" w:after="120"/>
        <w:ind w:firstLine="0" w:left="0" w:right="0"/>
        <w:jc w:val="both"/>
      </w:pPr>
      <w:r>
        <w:rPr>
          <w:rFonts w:ascii="Merriweather Sans Light" w:hAnsi="Merriweather Sans Light"/>
          <w:sz w:val="24"/>
        </w:rPr>
        <w:t>b) no caso em que houver superposição dos períodos de seguro, cada Estado</w:t>
      </w:r>
    </w:p>
    <w:p>
      <w:pPr>
        <w:spacing w:line="240" w:lineRule="auto" w:after="120"/>
        <w:ind w:firstLine="0" w:left="0" w:right="0"/>
        <w:jc w:val="both"/>
      </w:pPr>
      <w:r>
        <w:rPr>
          <w:rFonts w:ascii="Merriweather Sans Light" w:hAnsi="Merriweather Sans Light"/>
          <w:sz w:val="24"/>
        </w:rPr>
        <w:t>considerará apenas os períodos cumpridos sob sua própria legislação.</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1. Para beneficiar-se das prestações devidas em conformidade com o Artigo XV do</w:t>
      </w:r>
    </w:p>
    <w:p>
      <w:pPr>
        <w:spacing w:line="240" w:lineRule="auto" w:after="120"/>
        <w:ind w:firstLine="0" w:left="0" w:right="0"/>
        <w:jc w:val="both"/>
      </w:pPr>
      <w:r>
        <w:rPr>
          <w:rFonts w:ascii="Merriweather Sans Light" w:hAnsi="Merriweather Sans Light"/>
          <w:sz w:val="24"/>
        </w:rPr>
        <w:t>Acordo, os segurados ou dependentes deverão apresentar uma solicitação à instituição competente do Estado de sua residência, segundo as modalidades previstas pela legislação aplicável pela instituição à qual a solicitação é dirigida.</w:t>
      </w:r>
    </w:p>
    <w:p>
      <w:pPr>
        <w:spacing w:line="240" w:lineRule="auto" w:after="120"/>
        <w:ind w:firstLine="0" w:left="0" w:right="0"/>
        <w:jc w:val="both"/>
      </w:pPr>
      <w:r>
        <w:rPr>
          <w:rFonts w:ascii="Merriweather Sans Light" w:hAnsi="Merriweather Sans Light"/>
          <w:sz w:val="24"/>
        </w:rPr>
        <w:t>2. Para tanto, serão estabelecidos formulários de solicitação contendo os dados</w:t>
      </w:r>
    </w:p>
    <w:p>
      <w:pPr>
        <w:spacing w:line="240" w:lineRule="auto" w:after="120"/>
        <w:ind w:firstLine="0" w:left="0" w:right="0"/>
        <w:jc w:val="both"/>
      </w:pPr>
      <w:r>
        <w:rPr>
          <w:rFonts w:ascii="Merriweather Sans Light" w:hAnsi="Merriweather Sans Light"/>
          <w:sz w:val="24"/>
        </w:rPr>
        <w:t>relativos ao estado civil do solicitante e dos membros de sua família, bem como qualquer outra informação necessária para a determinação do direito do solicitante às prestações, em conformidade com a legislação aplicada pela instituição à qual é dirigida a solicitação.</w:t>
      </w:r>
    </w:p>
    <w:p>
      <w:pPr>
        <w:spacing w:line="240" w:lineRule="auto" w:after="120"/>
        <w:ind w:firstLine="0" w:left="0" w:right="0"/>
        <w:jc w:val="both"/>
      </w:pPr>
      <w:r>
        <w:rPr>
          <w:rFonts w:ascii="Merriweather Sans Light" w:hAnsi="Merriweather Sans Light"/>
          <w:sz w:val="24"/>
        </w:rPr>
        <w:t>3. A instituição competente que receber a solicitação enviará à instituição competente</w:t>
      </w:r>
    </w:p>
    <w:p>
      <w:pPr>
        <w:spacing w:line="240" w:lineRule="auto" w:after="120"/>
        <w:ind w:firstLine="0" w:left="0" w:right="0"/>
        <w:jc w:val="both"/>
      </w:pPr>
      <w:r>
        <w:rPr>
          <w:rFonts w:ascii="Merriweather Sans Light" w:hAnsi="Merriweather Sans Light"/>
          <w:sz w:val="24"/>
        </w:rPr>
        <w:t>do outro Estado, sem demora, o formulário de solicitação mencionado no parágrafo 1, com duas cópias de um formulário de ligação, indicando especificamente os períodos de seguro cumpridos de conformidade com a legislação aplicável pela instituição que expediu o formulário, bem como os direitos adquiridos em virtude desses períodos.</w:t>
      </w:r>
    </w:p>
    <w:p>
      <w:pPr>
        <w:spacing w:line="240" w:lineRule="auto" w:after="120"/>
        <w:ind w:firstLine="0" w:left="0" w:right="0"/>
        <w:jc w:val="both"/>
      </w:pPr>
      <w:r>
        <w:rPr>
          <w:rFonts w:ascii="Merriweather Sans Light" w:hAnsi="Merriweather Sans Light"/>
          <w:sz w:val="24"/>
        </w:rPr>
        <w:t>4. A instituição competente do outro Estado contratante, após ter recebido os</w:t>
      </w:r>
    </w:p>
    <w:p>
      <w:pPr>
        <w:spacing w:line="240" w:lineRule="auto" w:after="120"/>
        <w:ind w:firstLine="0" w:left="0" w:right="0"/>
        <w:jc w:val="both"/>
      </w:pPr>
      <w:r>
        <w:rPr>
          <w:rFonts w:ascii="Merriweather Sans Light" w:hAnsi="Merriweather Sans Light"/>
          <w:sz w:val="24"/>
        </w:rPr>
        <w:t>formulários mencionados nos parágrafos precedentes, determinará o direito correspondente, seja com base nos períodos cumpridos em conformidade com sua legislação, seja com base nos períodos totalizados. A referida instituição enviará à instituição competente do outro Estado uma cópia do formulário de ligação preenchido com os dados relativos aos períodos cumpridos sob sua própria legislação e com o direito às prestações reconhecidas ao solicitante.</w:t>
      </w:r>
    </w:p>
    <w:p>
      <w:pPr>
        <w:spacing w:line="240" w:lineRule="auto" w:after="120"/>
        <w:ind w:firstLine="0" w:left="0" w:right="0"/>
        <w:jc w:val="both"/>
      </w:pPr>
      <w:r>
        <w:rPr>
          <w:rFonts w:ascii="Merriweather Sans Light" w:hAnsi="Merriweather Sans Light"/>
          <w:sz w:val="24"/>
        </w:rPr>
        <w:t>5. Logo que a instituição em questão tiver recebido essas informações, notificará à</w:t>
      </w:r>
    </w:p>
    <w:p>
      <w:pPr>
        <w:spacing w:line="240" w:lineRule="auto" w:after="120"/>
        <w:ind w:firstLine="0" w:left="0" w:right="0"/>
        <w:jc w:val="both"/>
      </w:pPr>
      <w:r>
        <w:rPr>
          <w:rFonts w:ascii="Merriweather Sans Light" w:hAnsi="Merriweather Sans Light"/>
          <w:sz w:val="24"/>
        </w:rPr>
        <w:t>outra instituição os direitos do interessado.</w:t>
      </w:r>
    </w:p>
    <w:p>
      <w:pPr>
        <w:spacing w:line="240" w:lineRule="auto" w:after="120"/>
        <w:ind w:firstLine="0" w:left="0" w:right="0"/>
        <w:jc w:val="both"/>
      </w:pPr>
      <w:r>
        <w:rPr>
          <w:rFonts w:ascii="Merriweather Sans Light" w:hAnsi="Merriweather Sans Light"/>
          <w:sz w:val="24"/>
        </w:rPr>
        <w:t>6. As informações sobre estado civil e filiação contidas no formulário de solicitação</w:t>
      </w:r>
    </w:p>
    <w:p>
      <w:pPr>
        <w:spacing w:line="240" w:lineRule="auto" w:after="120"/>
        <w:ind w:firstLine="0" w:left="0" w:right="0"/>
        <w:jc w:val="both"/>
      </w:pPr>
      <w:r>
        <w:rPr>
          <w:rFonts w:ascii="Merriweather Sans Light" w:hAnsi="Merriweather Sans Light"/>
          <w:sz w:val="24"/>
        </w:rPr>
        <w:t>mencionado no parágrafo 1 serão ratificadas pela instituição competente que remeter o formulário.</w:t>
      </w:r>
    </w:p>
    <w:p>
      <w:pPr>
        <w:spacing w:line="240" w:lineRule="auto" w:after="120"/>
        <w:ind w:firstLine="0" w:left="0" w:right="0"/>
        <w:jc w:val="both"/>
      </w:pPr>
      <w:r>
        <w:rPr>
          <w:rFonts w:ascii="Merriweather Sans Light" w:hAnsi="Merriweather Sans Light"/>
          <w:sz w:val="24"/>
        </w:rPr>
        <w:t>7. A referida instituição atestará que as informações contidas no formulário de</w:t>
      </w:r>
    </w:p>
    <w:p>
      <w:pPr>
        <w:spacing w:line="240" w:lineRule="auto" w:after="120"/>
        <w:ind w:firstLine="0" w:left="0" w:right="0"/>
        <w:jc w:val="both"/>
      </w:pPr>
      <w:r>
        <w:rPr>
          <w:rFonts w:ascii="Merriweather Sans Light" w:hAnsi="Merriweather Sans Light"/>
          <w:sz w:val="24"/>
        </w:rPr>
        <w:t>solicitação são baseadas em dados oficiais. O envio do formulário ratificado poderá substituir o envio dos documentos originais.</w:t>
      </w:r>
    </w:p>
    <w:p>
      <w:pPr>
        <w:spacing w:line="240" w:lineRule="auto" w:after="120"/>
        <w:ind w:firstLine="0" w:left="0" w:right="0"/>
        <w:jc w:val="both"/>
      </w:pPr>
      <w:r>
        <w:rPr>
          <w:rFonts w:ascii="Merriweather Sans Light" w:hAnsi="Merriweather Sans Light"/>
          <w:sz w:val="24"/>
        </w:rPr>
        <w:t>8. Os documentos originais poderão ser remetidos à instituição competente do Estado</w:t>
      </w:r>
    </w:p>
    <w:p>
      <w:pPr>
        <w:spacing w:line="240" w:lineRule="auto" w:after="120"/>
        <w:ind w:firstLine="0" w:left="0" w:right="0"/>
        <w:jc w:val="both"/>
      </w:pPr>
      <w:r>
        <w:rPr>
          <w:rFonts w:ascii="Merriweather Sans Light" w:hAnsi="Merriweather Sans Light"/>
          <w:sz w:val="24"/>
        </w:rPr>
        <w:t>que examinar a solicitação, caso a dita instituição os requeira.</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Para o cumprimento das condições previstas no Artigo XVII do Acordo, o trabalhador que estiver submetido ao seguro voluntário sob a legislação de um dos Estados contratantes será considerado como se estivesse submetido à legislação desse Estado.</w:t>
      </w:r>
    </w:p>
    <w:p>
      <w:pPr>
        <w:spacing w:line="240" w:lineRule="auto" w:after="120" w:before="240"/>
        <w:ind w:firstLine="0" w:left="0" w:right="0"/>
        <w:jc w:val="center"/>
      </w:pPr>
      <w:r>
        <w:rPr>
          <w:rFonts w:ascii="Merriweather Sans Light" w:hAnsi="Merriweather Sans Light"/>
          <w:b/>
          <w:sz w:val="24"/>
        </w:rPr>
        <w:t>CAPÍTULO III</w:t>
      </w:r>
    </w:p>
    <w:p>
      <w:pPr>
        <w:spacing w:line="240" w:lineRule="auto" w:after="120"/>
        <w:ind w:firstLine="0" w:left="0" w:right="0"/>
        <w:jc w:val="both"/>
      </w:pPr>
      <w:r>
        <w:rPr>
          <w:rFonts w:ascii="Merriweather Sans Light" w:hAnsi="Merriweather Sans Light"/>
          <w:sz w:val="24"/>
        </w:rPr>
        <w:t>Acidentes do Trabalho e Doenças Profissionais</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O grau de incapacidade resultante de um acidente de trabalho ou de uma doença profissional será analisado, no âmbito da legislação de um Estado, considerando-se como se tivessem ocorrido sob sua legislação os acidentes de trabalho e as doenças profissionais ocorridos anteriormente sob a legislação do outro Estado.</w:t>
      </w:r>
    </w:p>
    <w:p>
      <w:pPr>
        <w:spacing w:line="240" w:lineRule="auto" w:after="120" w:before="240"/>
        <w:ind w:firstLine="0" w:left="0" w:right="0"/>
        <w:jc w:val="center"/>
      </w:pPr>
      <w:r>
        <w:rPr>
          <w:rFonts w:ascii="Merriweather Sans Light" w:hAnsi="Merriweather Sans Light"/>
          <w:b/>
          <w:sz w:val="24"/>
        </w:rPr>
        <w:t>PARTE IV</w:t>
      </w:r>
    </w:p>
    <w:p>
      <w:pPr>
        <w:spacing w:line="240" w:lineRule="auto" w:after="120"/>
        <w:ind w:firstLine="0" w:left="0" w:right="0"/>
        <w:jc w:val="both"/>
      </w:pPr>
      <w:r>
        <w:rPr>
          <w:rFonts w:ascii="Merriweather Sans Light" w:hAnsi="Merriweather Sans Light"/>
          <w:sz w:val="24"/>
        </w:rPr>
        <w:t>Disposições Diversas</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1. As disposições do Artigo XXII do Acordo serão aplicadas igualmente nos casos em</w:t>
      </w:r>
    </w:p>
    <w:p>
      <w:pPr>
        <w:spacing w:line="240" w:lineRule="auto" w:after="120"/>
        <w:ind w:firstLine="0" w:left="0" w:right="0"/>
        <w:jc w:val="both"/>
      </w:pPr>
      <w:r>
        <w:rPr>
          <w:rFonts w:ascii="Merriweather Sans Light" w:hAnsi="Merriweather Sans Light"/>
          <w:sz w:val="24"/>
        </w:rPr>
        <w:t>que sejam necessários exames médicos para concessão das prestações, total e exclusivamente a cargo da instituição do Estado contratante que não seja aquele em que o interessado resida ou se encontre temporariamente.</w:t>
      </w:r>
    </w:p>
    <w:p>
      <w:pPr>
        <w:spacing w:line="240" w:lineRule="auto" w:after="120"/>
        <w:ind w:firstLine="0" w:left="0" w:right="0"/>
        <w:jc w:val="both"/>
      </w:pPr>
      <w:r>
        <w:rPr>
          <w:rFonts w:ascii="Merriweather Sans Light" w:hAnsi="Merriweather Sans Light"/>
          <w:sz w:val="24"/>
        </w:rPr>
        <w:t>2. Os organismos de ligação poderão entrar em acordo sobre os formulários</w:t>
      </w:r>
    </w:p>
    <w:p>
      <w:pPr>
        <w:spacing w:line="240" w:lineRule="auto" w:after="120"/>
        <w:ind w:firstLine="0" w:left="0" w:right="0"/>
        <w:jc w:val="both"/>
      </w:pPr>
      <w:r>
        <w:rPr>
          <w:rFonts w:ascii="Merriweather Sans Light" w:hAnsi="Merriweather Sans Light"/>
          <w:sz w:val="24"/>
        </w:rPr>
        <w:t>necessários.</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1. Se, no momento da concessão ou da revisão das pensões por velhice, invalidez ou</w:t>
      </w:r>
    </w:p>
    <w:p>
      <w:pPr>
        <w:spacing w:line="240" w:lineRule="auto" w:after="120"/>
        <w:ind w:firstLine="0" w:left="0" w:right="0"/>
        <w:jc w:val="both"/>
      </w:pPr>
      <w:r>
        <w:rPr>
          <w:rFonts w:ascii="Merriweather Sans Light" w:hAnsi="Merriweather Sans Light"/>
          <w:sz w:val="24"/>
        </w:rPr>
        <w:t>morte, decorrentes da aplicação das disposições do presente Acordo, a instituição de um dos Estados contratantes tiver concedido ao beneficiário um montante maior do que o devido, essa instituição poderá solicitar à instituição do outro Estado - devedora de prestações correspondentes ao mesmo beneficiário - que retenha o montante pago a mais dos montantes atrasados e que, se for o caso, deverá pagar ao beneficiário. Esta última instituição enviará o montante retido ao organismo solicitante. No caso em que o montante pago a mais não puder ser descontado do valor a pagar, serão aplicadas as disposições do parágrafo 2.</w:t>
      </w:r>
    </w:p>
    <w:p>
      <w:pPr>
        <w:spacing w:line="240" w:lineRule="auto" w:after="120"/>
        <w:ind w:firstLine="0" w:left="0" w:right="0"/>
        <w:jc w:val="both"/>
      </w:pPr>
      <w:r>
        <w:rPr>
          <w:rFonts w:ascii="Merriweather Sans Light" w:hAnsi="Merriweather Sans Light"/>
          <w:sz w:val="24"/>
        </w:rPr>
        <w:t>2. Se a instituição de um dos Estados contratantes tiver concedido ao beneficiário um</w:t>
      </w:r>
    </w:p>
    <w:p>
      <w:pPr>
        <w:spacing w:line="240" w:lineRule="auto" w:after="120"/>
        <w:ind w:firstLine="0" w:left="0" w:right="0"/>
        <w:jc w:val="both"/>
      </w:pPr>
      <w:r>
        <w:rPr>
          <w:rFonts w:ascii="Merriweather Sans Light" w:hAnsi="Merriweather Sans Light"/>
          <w:sz w:val="24"/>
        </w:rPr>
        <w:t>valor maior do que o devido, essa instituição poderá, nas condições e limites previstos pela legislação por ela aplicada, solicitar à instituição do outro Estado, devedora de prestações a esse mesmo beneficiário, que desconte o valor pago a mais do valor que esta última deverá pagar ao beneficiário. Esta última instituição realizará o desconto, de acordo com as condições e limites previstos pela sua legislação e transferirá o montante retido à instituição que o solicitou.</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Para aplicação das disposições do Artigo XXIV do Acordo, se em um dos Estados contratantes houver mais de uma taxa de câmbio, a autoridade competente desse Estado será obrigada a intervir junto às autoridades competentes nesta matéria, com a finalidade de obter a transferência dos valores à taxa de câmbio mais favorável aos beneficiários.</w:t>
      </w:r>
    </w:p>
    <w:p>
      <w:pPr>
        <w:spacing w:line="240" w:lineRule="auto" w:after="120" w:before="240"/>
        <w:ind w:firstLine="0" w:left="0" w:right="0"/>
        <w:jc w:val="center"/>
      </w:pPr>
      <w:r>
        <w:rPr>
          <w:rFonts w:ascii="Merriweather Sans Light" w:hAnsi="Merriweather Sans Light"/>
          <w:b/>
          <w:sz w:val="24"/>
        </w:rPr>
        <w:t>Artigo 17</w:t>
      </w:r>
    </w:p>
    <w:p>
      <w:pPr>
        <w:spacing w:line="240" w:lineRule="auto" w:after="120"/>
        <w:ind w:firstLine="0" w:left="0" w:right="0"/>
        <w:jc w:val="both"/>
      </w:pPr>
      <w:r>
        <w:rPr>
          <w:rFonts w:ascii="Merriweather Sans Light" w:hAnsi="Merriweather Sans Light"/>
          <w:sz w:val="24"/>
        </w:rPr>
        <w:t>1. Cada uma das Partes notificará a outra do cumprimento dos requisitos legais</w:t>
      </w:r>
    </w:p>
    <w:p>
      <w:pPr>
        <w:spacing w:line="240" w:lineRule="auto" w:after="120"/>
        <w:ind w:firstLine="0" w:left="0" w:right="0"/>
        <w:jc w:val="both"/>
      </w:pPr>
      <w:r>
        <w:rPr>
          <w:rFonts w:ascii="Merriweather Sans Light" w:hAnsi="Merriweather Sans Light"/>
          <w:sz w:val="24"/>
        </w:rPr>
        <w:t>internos necessários à vigência do presente Ajuste, o qual entrará em vigor 30 dias após o recebimento da segunda notificação.</w:t>
      </w:r>
    </w:p>
    <w:p>
      <w:pPr>
        <w:spacing w:line="240" w:lineRule="auto" w:after="120"/>
        <w:ind w:firstLine="0" w:left="0" w:right="0"/>
        <w:jc w:val="both"/>
      </w:pPr>
      <w:r>
        <w:rPr>
          <w:rFonts w:ascii="Merriweather Sans Light" w:hAnsi="Merriweather Sans Light"/>
          <w:sz w:val="24"/>
        </w:rPr>
        <w:t>2. A denúncia ou a recondução do presente Ajuste terá o mesmo tratamento</w:t>
      </w:r>
    </w:p>
    <w:p>
      <w:pPr>
        <w:spacing w:line="240" w:lineRule="auto" w:after="120"/>
        <w:ind w:firstLine="0" w:left="0" w:right="0"/>
        <w:jc w:val="both"/>
      </w:pPr>
      <w:r>
        <w:rPr>
          <w:rFonts w:ascii="Merriweather Sans Light" w:hAnsi="Merriweather Sans Light"/>
          <w:sz w:val="24"/>
        </w:rPr>
        <w:t>dispensado ao Acordo de Previdência Social.</w:t>
      </w:r>
    </w:p>
    <w:p>
      <w:pPr>
        <w:spacing w:line="240" w:lineRule="auto" w:after="120"/>
        <w:ind w:firstLine="0" w:left="0" w:right="0"/>
        <w:jc w:val="both"/>
      </w:pPr>
      <w:r>
        <w:rPr>
          <w:rFonts w:ascii="Merriweather Sans Light" w:hAnsi="Merriweather Sans Light"/>
          <w:b/>
          <w:sz w:val="24"/>
        </w:rPr>
        <w:t>Feito em Brasília, aos 16 dias do mês de julho de 1992, em dois exemplares, nas línguas portuguesa, francesa e grega, sendo os três textos igualmente autênticos. Em caso de divergência quanto à interpretação, prevalecerá o texto em francês.</w:t>
      </w:r>
    </w:p>
    <w:p>
      <w:pPr>
        <w:spacing w:line="240" w:lineRule="auto" w:after="120" w:before="240"/>
        <w:ind w:firstLine="0" w:left="0" w:right="0"/>
        <w:jc w:val="center"/>
      </w:pPr>
      <w:r>
        <w:rPr>
          <w:rFonts w:ascii="Merriweather Sans Light" w:hAnsi="Merriweather Sans Light"/>
          <w:b/>
          <w:sz w:val="24"/>
        </w:rPr>
        <w:t>PELO GOVERNO DA</w:t>
      </w:r>
    </w:p>
    <w:p>
      <w:pPr>
        <w:spacing w:line="240" w:lineRule="auto" w:after="120" w:before="240"/>
        <w:ind w:firstLine="0" w:left="0" w:right="0"/>
        <w:jc w:val="center"/>
      </w:pPr>
      <w:r>
        <w:rPr>
          <w:rFonts w:ascii="Merriweather Sans Light" w:hAnsi="Merriweather Sans Light"/>
          <w:b/>
          <w:sz w:val="24"/>
        </w:rPr>
        <w:t>REPÚBLICA FEDERATIVA DO</w:t>
      </w:r>
    </w:p>
    <w:p>
      <w:pPr>
        <w:spacing w:line="240" w:lineRule="auto" w:after="120" w:before="240"/>
        <w:ind w:firstLine="0" w:left="0" w:right="0"/>
        <w:jc w:val="center"/>
      </w:pPr>
      <w:r>
        <w:rPr>
          <w:rFonts w:ascii="Merriweather Sans Light" w:hAnsi="Merriweather Sans Light"/>
          <w:b/>
          <w:sz w:val="24"/>
        </w:rPr>
        <w:t>BRASIL</w:t>
      </w:r>
    </w:p>
    <w:p>
      <w:pPr>
        <w:spacing w:line="240" w:lineRule="auto" w:after="120" w:before="240"/>
        <w:ind w:firstLine="0" w:left="0" w:right="0"/>
        <w:jc w:val="center"/>
      </w:pPr>
      <w:r>
        <w:rPr>
          <w:rFonts w:ascii="Merriweather Sans Light" w:hAnsi="Merriweather Sans Light"/>
          <w:b/>
          <w:sz w:val="24"/>
        </w:rPr>
        <w:t>PELO GOVERNO DA</w:t>
      </w:r>
    </w:p>
    <w:p>
      <w:pPr>
        <w:spacing w:line="240" w:lineRule="auto" w:after="120" w:before="240"/>
        <w:ind w:firstLine="0" w:left="0" w:right="0"/>
        <w:jc w:val="center"/>
      </w:pPr>
      <w:r>
        <w:rPr>
          <w:rFonts w:ascii="Merriweather Sans Light" w:hAnsi="Merriweather Sans Light"/>
          <w:b/>
          <w:sz w:val="24"/>
        </w:rPr>
        <w:t>REPÚBLICA HELÊNICA</w:t>
      </w:r>
    </w:p>
    <w:p>
      <w:pPr>
        <w:spacing w:line="240" w:lineRule="auto" w:after="120"/>
        <w:ind w:firstLine="0" w:left="0" w:right="0"/>
        <w:jc w:val="both"/>
      </w:pPr>
      <w:r>
        <w:rPr>
          <w:rFonts w:ascii="Merriweather Sans Light" w:hAnsi="Merriweather Sans Light"/>
          <w:sz w:val="24"/>
        </w:rPr>
        <w:t>Celso Lafer Spyrídon Dokiano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