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before="240"/>
        <w:ind w:firstLine="0" w:left="0" w:right="0"/>
        <w:jc w:val="center"/>
      </w:pPr>
      <w:r>
        <w:rPr>
          <w:rFonts w:ascii="Merriweather Sans Light" w:hAnsi="Merriweather Sans Light"/>
          <w:b/>
          <w:sz w:val="24"/>
        </w:rPr>
        <w:t>AJUSTE ADMINISTRATIVO PARA A IMPLEMENTAÇÃO</w:t>
      </w:r>
    </w:p>
    <w:p>
      <w:pPr>
        <w:spacing w:line="240" w:lineRule="auto" w:after="120" w:before="240"/>
        <w:ind w:firstLine="0" w:left="0" w:right="0"/>
        <w:jc w:val="center"/>
      </w:pPr>
      <w:r>
        <w:rPr>
          <w:rFonts w:ascii="Merriweather Sans Light" w:hAnsi="Merriweather Sans Light"/>
          <w:b/>
          <w:sz w:val="24"/>
        </w:rPr>
        <w:t>DO ACORDO DE PREVIDÊNCIA SOCIAL</w:t>
      </w:r>
    </w:p>
    <w:p>
      <w:pPr>
        <w:spacing w:line="240" w:lineRule="auto" w:after="120" w:before="240"/>
        <w:ind w:firstLine="0" w:left="0" w:right="0"/>
        <w:jc w:val="center"/>
      </w:pPr>
      <w:r>
        <w:rPr>
          <w:rFonts w:ascii="Merriweather Sans Light" w:hAnsi="Merriweather Sans Light"/>
          <w:b/>
          <w:sz w:val="24"/>
        </w:rPr>
        <w:t>ENTRE A</w:t>
      </w:r>
    </w:p>
    <w:p>
      <w:pPr>
        <w:spacing w:line="240" w:lineRule="auto" w:after="120" w:before="240"/>
        <w:ind w:firstLine="0" w:left="0" w:right="0"/>
        <w:jc w:val="center"/>
      </w:pPr>
      <w:r>
        <w:rPr>
          <w:rFonts w:ascii="Merriweather Sans Light" w:hAnsi="Merriweather Sans Light"/>
          <w:b/>
          <w:sz w:val="24"/>
        </w:rPr>
        <w:t>REPÚBLICA FEDERATIVA DO BRASIL E O JAPÃO</w:t>
      </w:r>
    </w:p>
    <w:p>
      <w:pPr>
        <w:spacing w:line="240" w:lineRule="auto" w:after="120"/>
        <w:ind w:firstLine="0" w:left="0" w:right="0"/>
        <w:jc w:val="both"/>
      </w:pPr>
      <w:r>
        <w:rPr>
          <w:rFonts w:ascii="Merriweather Sans Light" w:hAnsi="Merriweather Sans Light"/>
          <w:sz w:val="24"/>
        </w:rPr>
        <w:t>Em conformidade com a alínea (a) do parágrafo I do Artigo 18 do Acordo de Previdência Social entre a República Federativa do Brasil e o Japão, assinado em Tóquio, em 29 de julho de 2010, as autoridades competentes do Brasil e do Japão decidiram o seguinte:</w:t>
      </w:r>
    </w:p>
    <w:p>
      <w:pPr>
        <w:spacing w:line="240" w:lineRule="auto" w:after="120" w:before="240"/>
        <w:ind w:firstLine="0" w:left="0" w:right="0"/>
        <w:jc w:val="center"/>
      </w:pPr>
      <w:r>
        <w:rPr>
          <w:rFonts w:ascii="Merriweather Sans Light" w:hAnsi="Merriweather Sans Light"/>
          <w:b/>
          <w:sz w:val="24"/>
        </w:rPr>
        <w:t>PARTE I</w:t>
      </w:r>
    </w:p>
    <w:p>
      <w:pPr>
        <w:spacing w:line="240" w:lineRule="auto" w:after="120" w:before="240"/>
        <w:ind w:firstLine="0" w:left="0" w:right="0"/>
        <w:jc w:val="center"/>
      </w:pPr>
      <w:r>
        <w:rPr>
          <w:rFonts w:ascii="Merriweather Sans Light" w:hAnsi="Merriweather Sans Light"/>
          <w:b/>
          <w:sz w:val="24"/>
        </w:rPr>
        <w:t>DISPOSIÇÕES GERAIS</w:t>
      </w:r>
    </w:p>
    <w:p>
      <w:pPr>
        <w:spacing w:line="240" w:lineRule="auto" w:after="120" w:before="240"/>
        <w:ind w:firstLine="0" w:left="0" w:right="0"/>
        <w:jc w:val="center"/>
      </w:pPr>
      <w:r>
        <w:rPr>
          <w:rFonts w:ascii="Merriweather Sans Light" w:hAnsi="Merriweather Sans Light"/>
          <w:b/>
          <w:sz w:val="24"/>
        </w:rPr>
        <w:t>Artigo 1</w:t>
      </w:r>
    </w:p>
    <w:p>
      <w:pPr>
        <w:spacing w:line="240" w:lineRule="auto" w:after="120"/>
        <w:ind w:firstLine="0" w:left="0" w:right="0"/>
        <w:jc w:val="both"/>
      </w:pPr>
      <w:r>
        <w:rPr>
          <w:rFonts w:ascii="Merriweather Sans Light" w:hAnsi="Merriweather Sans Light"/>
          <w:sz w:val="24"/>
        </w:rPr>
        <w:t>Definições</w:t>
      </w:r>
    </w:p>
    <w:p>
      <w:pPr>
        <w:spacing w:line="240" w:lineRule="auto" w:after="120"/>
        <w:ind w:firstLine="0" w:left="0" w:right="0"/>
        <w:jc w:val="both"/>
      </w:pPr>
      <w:r>
        <w:rPr>
          <w:rFonts w:ascii="Merriweather Sans Light" w:hAnsi="Merriweather Sans Light"/>
          <w:sz w:val="24"/>
        </w:rPr>
        <w:t>1. Para efeitos do presente Ajuste Administrativo, "Acordo" significa o Acordo de</w:t>
      </w:r>
    </w:p>
    <w:p>
      <w:pPr>
        <w:spacing w:line="240" w:lineRule="auto" w:after="120"/>
        <w:ind w:firstLine="0" w:left="0" w:right="0"/>
        <w:jc w:val="both"/>
      </w:pPr>
      <w:r>
        <w:rPr>
          <w:rFonts w:ascii="Merriweather Sans Light" w:hAnsi="Merriweather Sans Light"/>
          <w:sz w:val="24"/>
        </w:rPr>
        <w:t>Previdência Social entre a República Federativa do Brasil e o Japão, assinado em Tóquio, em 29 de julho de 2010.</w:t>
      </w:r>
    </w:p>
    <w:p>
      <w:pPr>
        <w:spacing w:line="240" w:lineRule="auto" w:after="120"/>
        <w:ind w:firstLine="0" w:left="0" w:right="0"/>
        <w:jc w:val="both"/>
      </w:pPr>
      <w:r>
        <w:rPr>
          <w:rFonts w:ascii="Merriweather Sans Light" w:hAnsi="Merriweather Sans Light"/>
          <w:sz w:val="24"/>
        </w:rPr>
        <w:t>2. Qualquer outro termo utilizado no presente Ajuste Administrativo terá o mesmo</w:t>
      </w:r>
    </w:p>
    <w:p>
      <w:pPr>
        <w:spacing w:line="240" w:lineRule="auto" w:after="120"/>
        <w:ind w:firstLine="0" w:left="0" w:right="0"/>
        <w:jc w:val="both"/>
      </w:pPr>
      <w:r>
        <w:rPr>
          <w:rFonts w:ascii="Merriweather Sans Light" w:hAnsi="Merriweather Sans Light"/>
          <w:sz w:val="24"/>
        </w:rPr>
        <w:t>significado que lhe é dado no Acordo.</w:t>
      </w:r>
    </w:p>
    <w:p>
      <w:pPr>
        <w:spacing w:line="240" w:lineRule="auto" w:after="120" w:before="240"/>
        <w:ind w:firstLine="0" w:left="0" w:right="0"/>
        <w:jc w:val="center"/>
      </w:pPr>
      <w:r>
        <w:rPr>
          <w:rFonts w:ascii="Merriweather Sans Light" w:hAnsi="Merriweather Sans Light"/>
          <w:b/>
          <w:sz w:val="24"/>
        </w:rPr>
        <w:t>Artigo 2</w:t>
      </w:r>
    </w:p>
    <w:p>
      <w:pPr>
        <w:spacing w:line="240" w:lineRule="auto" w:after="120"/>
        <w:ind w:firstLine="0" w:left="0" w:right="0"/>
        <w:jc w:val="both"/>
      </w:pPr>
      <w:r>
        <w:rPr>
          <w:rFonts w:ascii="Merriweather Sans Light" w:hAnsi="Merriweather Sans Light"/>
          <w:sz w:val="24"/>
        </w:rPr>
        <w:t>Organismos de Ligação</w:t>
      </w:r>
    </w:p>
    <w:p>
      <w:pPr>
        <w:spacing w:line="240" w:lineRule="auto" w:after="120"/>
        <w:ind w:firstLine="0" w:left="0" w:right="0"/>
        <w:jc w:val="both"/>
      </w:pPr>
      <w:r>
        <w:rPr>
          <w:rFonts w:ascii="Merriweather Sans Light" w:hAnsi="Merriweather Sans Light"/>
          <w:sz w:val="24"/>
        </w:rPr>
        <w:t>1. De acordo com a alínea (b) do parágrafo I do Artigo 18 do Acordo, são</w:t>
      </w:r>
    </w:p>
    <w:p>
      <w:pPr>
        <w:spacing w:line="240" w:lineRule="auto" w:after="120"/>
        <w:ind w:firstLine="0" w:left="0" w:right="0"/>
        <w:jc w:val="both"/>
      </w:pPr>
      <w:r>
        <w:rPr>
          <w:rFonts w:ascii="Merriweather Sans Light" w:hAnsi="Merriweather Sans Light"/>
          <w:sz w:val="24"/>
        </w:rPr>
        <w:t>designados como organismos de ligação: (a) para o Japão: (i) para a Pensão Nacional e o Seguro de Pensão dos Empregados,</w:t>
      </w:r>
    </w:p>
    <w:p>
      <w:pPr>
        <w:spacing w:line="240" w:lineRule="auto" w:after="120"/>
        <w:ind w:firstLine="0" w:left="0" w:right="0"/>
        <w:jc w:val="both"/>
      </w:pPr>
      <w:r>
        <w:rPr>
          <w:rFonts w:ascii="Merriweather Sans Light" w:hAnsi="Merriweather Sans Light"/>
          <w:sz w:val="24"/>
        </w:rPr>
        <w:t>- o Ministro da Saúde, Trabalho e Bem-Estar Social e o Serviço de</w:t>
      </w:r>
    </w:p>
    <w:p>
      <w:pPr>
        <w:spacing w:line="240" w:lineRule="auto" w:after="120"/>
        <w:ind w:firstLine="0" w:left="0" w:right="0"/>
        <w:jc w:val="both"/>
      </w:pPr>
      <w:r>
        <w:rPr>
          <w:rFonts w:ascii="Merriweather Sans Light" w:hAnsi="Merriweather Sans Light"/>
          <w:sz w:val="24"/>
        </w:rPr>
        <w:t>Pensão do Japão; (ii) para a Pensão Mútua para Funcionários Públicos Nacionais,</w:t>
      </w:r>
    </w:p>
    <w:p>
      <w:pPr>
        <w:spacing w:line="240" w:lineRule="auto" w:after="120"/>
        <w:ind w:firstLine="0" w:left="0" w:right="0"/>
        <w:jc w:val="both"/>
      </w:pPr>
      <w:r>
        <w:rPr>
          <w:rFonts w:ascii="Merriweather Sans Light" w:hAnsi="Merriweather Sans Light"/>
          <w:sz w:val="24"/>
        </w:rPr>
        <w:t>- a Federação das Associações de Ajuda Mútua para Funcionários</w:t>
      </w:r>
    </w:p>
    <w:p>
      <w:pPr>
        <w:spacing w:line="240" w:lineRule="auto" w:after="120"/>
        <w:ind w:firstLine="0" w:left="0" w:right="0"/>
        <w:jc w:val="both"/>
      </w:pPr>
      <w:r>
        <w:rPr>
          <w:rFonts w:ascii="Merriweather Sans Light" w:hAnsi="Merriweather Sans Light"/>
          <w:sz w:val="24"/>
        </w:rPr>
        <w:t>Públicos Nacionais; (iii) para a Pensão Mútua para Funcionários Públicos Locais e Pessoal de Status Similar,</w:t>
      </w:r>
    </w:p>
    <w:p>
      <w:pPr>
        <w:spacing w:line="240" w:lineRule="auto" w:after="120"/>
        <w:ind w:firstLine="0" w:left="0" w:right="0"/>
        <w:jc w:val="both"/>
      </w:pPr>
      <w:r>
        <w:rPr>
          <w:rFonts w:ascii="Merriweather Sans Light" w:hAnsi="Merriweather Sans Light"/>
          <w:sz w:val="24"/>
        </w:rPr>
        <w:t>- a Associação de Fundo de Pensão para Funcionários do Governo Local; e</w:t>
      </w:r>
    </w:p>
    <w:p>
      <w:pPr>
        <w:spacing w:line="240" w:lineRule="auto" w:after="120"/>
        <w:ind w:firstLine="0" w:left="0" w:right="0"/>
        <w:jc w:val="both"/>
      </w:pPr>
      <w:r>
        <w:rPr>
          <w:rFonts w:ascii="Merriweather Sans Light" w:hAnsi="Merriweather Sans Light"/>
          <w:sz w:val="24"/>
        </w:rPr>
        <w:t>(iv) para a Pensão Mútua para Pessoal de Escolas Privadas,</w:t>
      </w:r>
    </w:p>
    <w:p>
      <w:pPr>
        <w:spacing w:line="240" w:lineRule="auto" w:after="120"/>
        <w:ind w:firstLine="0" w:left="0" w:right="0"/>
        <w:jc w:val="both"/>
      </w:pPr>
      <w:r>
        <w:rPr>
          <w:rFonts w:ascii="Merriweather Sans Light" w:hAnsi="Merriweather Sans Light"/>
          <w:sz w:val="24"/>
        </w:rPr>
        <w:t>- a Corporação de Promoção e Ajuda Mútua para Escolas Privadas do</w:t>
      </w:r>
    </w:p>
    <w:p>
      <w:pPr>
        <w:spacing w:line="240" w:lineRule="auto" w:after="120"/>
        <w:ind w:firstLine="0" w:left="0" w:right="0"/>
        <w:jc w:val="both"/>
      </w:pPr>
      <w:r>
        <w:rPr>
          <w:rFonts w:ascii="Merriweather Sans Light" w:hAnsi="Merriweather Sans Light"/>
          <w:sz w:val="24"/>
        </w:rPr>
        <w:t>Japão; (b) para o Brasil:</w:t>
      </w:r>
    </w:p>
    <w:p>
      <w:pPr>
        <w:spacing w:line="240" w:lineRule="auto" w:after="120"/>
        <w:ind w:firstLine="0" w:left="0" w:right="0"/>
        <w:jc w:val="both"/>
      </w:pPr>
      <w:r>
        <w:rPr>
          <w:rFonts w:ascii="Merriweather Sans Light" w:hAnsi="Merriweather Sans Light"/>
          <w:sz w:val="24"/>
        </w:rPr>
        <w:t>- o Instituto Nacional do Seguro Social (doravante denominado como “INSS”).</w:t>
      </w:r>
    </w:p>
    <w:p>
      <w:pPr>
        <w:spacing w:line="240" w:lineRule="auto" w:after="120"/>
        <w:ind w:firstLine="0" w:left="0" w:right="0"/>
        <w:jc w:val="both"/>
      </w:pPr>
      <w:r>
        <w:rPr>
          <w:rFonts w:ascii="Merriweather Sans Light" w:hAnsi="Merriweather Sans Light"/>
          <w:sz w:val="24"/>
        </w:rPr>
        <w:t>2. Para efeitos de aplicação do presente Ajuste Administrativo, o INSS pode se</w:t>
      </w:r>
    </w:p>
    <w:p>
      <w:pPr>
        <w:spacing w:line="240" w:lineRule="auto" w:after="120"/>
        <w:ind w:firstLine="0" w:left="0" w:right="0"/>
        <w:jc w:val="both"/>
      </w:pPr>
      <w:r>
        <w:rPr>
          <w:rFonts w:ascii="Merriweather Sans Light" w:hAnsi="Merriweather Sans Light"/>
          <w:sz w:val="24"/>
        </w:rPr>
        <w:t>comunicar com o Serviço de Pensão do Japão em relação a quaisquer dos sistemas previdenciários japoneses.</w:t>
      </w:r>
    </w:p>
    <w:p>
      <w:pPr>
        <w:spacing w:line="240" w:lineRule="auto" w:after="120" w:before="240"/>
        <w:ind w:firstLine="0" w:left="0" w:right="0"/>
        <w:jc w:val="center"/>
      </w:pPr>
      <w:r>
        <w:rPr>
          <w:rFonts w:ascii="Merriweather Sans Light" w:hAnsi="Merriweather Sans Light"/>
          <w:b/>
          <w:sz w:val="24"/>
        </w:rPr>
        <w:t>PARTE II</w:t>
      </w:r>
    </w:p>
    <w:p>
      <w:pPr>
        <w:spacing w:line="240" w:lineRule="auto" w:after="120" w:before="240"/>
        <w:ind w:firstLine="0" w:left="0" w:right="0"/>
        <w:jc w:val="center"/>
      </w:pPr>
      <w:r>
        <w:rPr>
          <w:rFonts w:ascii="Merriweather Sans Light" w:hAnsi="Merriweather Sans Light"/>
          <w:b/>
          <w:sz w:val="24"/>
        </w:rPr>
        <w:t>DISPOSIÇÕES RELATIVAS À LEGISLAÇÃO APLICÁVEL</w:t>
      </w:r>
    </w:p>
    <w:p>
      <w:pPr>
        <w:spacing w:line="240" w:lineRule="auto" w:after="120" w:before="240"/>
        <w:ind w:firstLine="0" w:left="0" w:right="0"/>
        <w:jc w:val="center"/>
      </w:pPr>
      <w:r>
        <w:rPr>
          <w:rFonts w:ascii="Merriweather Sans Light" w:hAnsi="Merriweather Sans Light"/>
          <w:b/>
          <w:sz w:val="24"/>
        </w:rPr>
        <w:t>Artigo 3</w:t>
      </w:r>
    </w:p>
    <w:p>
      <w:pPr>
        <w:spacing w:line="240" w:lineRule="auto" w:after="120"/>
        <w:ind w:firstLine="0" w:left="0" w:right="0"/>
        <w:jc w:val="both"/>
      </w:pPr>
      <w:r>
        <w:rPr>
          <w:rFonts w:ascii="Merriweather Sans Light" w:hAnsi="Merriweather Sans Light"/>
          <w:sz w:val="24"/>
        </w:rPr>
        <w:t>Certificado de Cobertura dos Empregados e Trabalhadores por Conta Própria</w:t>
      </w:r>
    </w:p>
    <w:p>
      <w:pPr>
        <w:spacing w:line="240" w:lineRule="auto" w:after="120"/>
        <w:ind w:firstLine="0" w:left="0" w:right="0"/>
        <w:jc w:val="both"/>
      </w:pPr>
      <w:r>
        <w:rPr>
          <w:rFonts w:ascii="Merriweather Sans Light" w:hAnsi="Merriweather Sans Light"/>
          <w:sz w:val="24"/>
        </w:rPr>
        <w:t>1. Se a legislação de um Estado Contratante aplicar-se a um empregado, a um</w:t>
      </w:r>
    </w:p>
    <w:p>
      <w:pPr>
        <w:spacing w:line="240" w:lineRule="auto" w:after="120"/>
        <w:ind w:firstLine="0" w:left="0" w:right="0"/>
        <w:jc w:val="both"/>
      </w:pPr>
      <w:r>
        <w:rPr>
          <w:rFonts w:ascii="Merriweather Sans Light" w:hAnsi="Merriweather Sans Light"/>
          <w:sz w:val="24"/>
        </w:rPr>
        <w:t>servidor público (incluindo uma pessoa tratada como um servidor público pela legislação desse Estado Contratante onde o termo é aqui usado) ou a um trabalhador por conta própria, nos termos do Artigo 7, Artigo 8, parágrafo 2 do Artigo 9 ou Artigo 10 do Acordo, o organismo de ligação desse Estado Contratante, a pedido dos interessados, emitirá um certificado que comprove que esse empregado, servidor público ou trabalhador por conta própria está sujeito à legislação deste Estado, indicando o período para o qual o certificado será válido. O certificado será prova de que o empregado, o servidor público ou o trabalhador por conta própria está isento da legislação sobre a cobertura compulsória do outro Estado Contratante.</w:t>
      </w:r>
    </w:p>
    <w:p>
      <w:pPr>
        <w:spacing w:line="240" w:lineRule="auto" w:after="120"/>
        <w:ind w:firstLine="0" w:left="0" w:right="0"/>
        <w:jc w:val="both"/>
      </w:pPr>
      <w:r>
        <w:rPr>
          <w:rFonts w:ascii="Merriweather Sans Light" w:hAnsi="Merriweather Sans Light"/>
          <w:sz w:val="24"/>
        </w:rPr>
        <w:t>2. O organismo de ligação de um Estado Contratante que emite o certificado</w:t>
      </w:r>
    </w:p>
    <w:p>
      <w:pPr>
        <w:spacing w:line="240" w:lineRule="auto" w:after="120"/>
        <w:ind w:firstLine="0" w:left="0" w:right="0"/>
        <w:jc w:val="both"/>
      </w:pPr>
      <w:r>
        <w:rPr>
          <w:rFonts w:ascii="Merriweather Sans Light" w:hAnsi="Merriweather Sans Light"/>
          <w:sz w:val="24"/>
        </w:rPr>
        <w:t>mencionado no parágrafo 1 deste Artigo fornecerá uma via do certificado para a pessoa ou empregador que o solicitou e uma cópia do certificado ou uma lista com informações contidas nos certificados ao organismo de ligação do outro Estado Contratante.</w:t>
      </w:r>
    </w:p>
    <w:p>
      <w:pPr>
        <w:spacing w:line="240" w:lineRule="auto" w:after="120"/>
        <w:ind w:firstLine="0" w:left="0" w:right="0"/>
        <w:jc w:val="both"/>
      </w:pPr>
      <w:r>
        <w:rPr>
          <w:rFonts w:ascii="Merriweather Sans Light" w:hAnsi="Merriweather Sans Light"/>
          <w:sz w:val="24"/>
        </w:rPr>
        <w:t>3. O período de deslocamento, concedido nos termos do parágrafo 1 do Artigo 7 do</w:t>
      </w:r>
    </w:p>
    <w:p>
      <w:pPr>
        <w:spacing w:line="240" w:lineRule="auto" w:after="120"/>
        <w:ind w:firstLine="0" w:left="0" w:right="0"/>
        <w:jc w:val="both"/>
      </w:pPr>
      <w:r>
        <w:rPr>
          <w:rFonts w:ascii="Merriweather Sans Light" w:hAnsi="Merriweather Sans Light"/>
          <w:sz w:val="24"/>
        </w:rPr>
        <w:t>Acordo, ou o período de atividade por conta própria, concedido em conformidade com o parágrafo 4 do Artigo 7 do Acordo, poderá ser renovado por até cinco anos, sem qualquer consulta ao organismo de ligação do Estado Contratante onde o empregado ou o trabalhador por conta própria trabalha. Neste caso, um novo certificado de cobertura, indicando o período renovado, será emitido.</w:t>
      </w:r>
    </w:p>
    <w:p>
      <w:pPr>
        <w:spacing w:line="240" w:lineRule="auto" w:after="120" w:before="240"/>
        <w:ind w:firstLine="0" w:left="0" w:right="0"/>
        <w:jc w:val="center"/>
      </w:pPr>
      <w:r>
        <w:rPr>
          <w:rFonts w:ascii="Merriweather Sans Light" w:hAnsi="Merriweather Sans Light"/>
          <w:b/>
          <w:sz w:val="24"/>
        </w:rPr>
        <w:t>PARTE III</w:t>
      </w:r>
    </w:p>
    <w:p>
      <w:pPr>
        <w:spacing w:line="240" w:lineRule="auto" w:after="120" w:before="240"/>
        <w:ind w:firstLine="0" w:left="0" w:right="0"/>
        <w:jc w:val="center"/>
      </w:pPr>
      <w:r>
        <w:rPr>
          <w:rFonts w:ascii="Merriweather Sans Light" w:hAnsi="Merriweather Sans Light"/>
          <w:b/>
          <w:sz w:val="24"/>
        </w:rPr>
        <w:t>DISPOSIÇÕES SOBRE BENEFÍCIOS</w:t>
      </w:r>
    </w:p>
    <w:p>
      <w:pPr>
        <w:spacing w:line="240" w:lineRule="auto" w:after="120" w:before="240"/>
        <w:ind w:firstLine="0" w:left="0" w:right="0"/>
        <w:jc w:val="center"/>
      </w:pPr>
      <w:r>
        <w:rPr>
          <w:rFonts w:ascii="Merriweather Sans Light" w:hAnsi="Merriweather Sans Light"/>
          <w:b/>
          <w:sz w:val="24"/>
        </w:rPr>
        <w:t>Artigo 4</w:t>
      </w:r>
    </w:p>
    <w:p>
      <w:pPr>
        <w:spacing w:line="240" w:lineRule="auto" w:after="120"/>
        <w:ind w:firstLine="0" w:left="0" w:right="0"/>
        <w:jc w:val="both"/>
      </w:pPr>
      <w:r>
        <w:rPr>
          <w:rFonts w:ascii="Merriweather Sans Light" w:hAnsi="Merriweather Sans Light"/>
          <w:sz w:val="24"/>
        </w:rPr>
        <w:t>Requerimentos, Recursos, Declarações e outras informações necessárias</w:t>
      </w:r>
    </w:p>
    <w:p>
      <w:pPr>
        <w:spacing w:line="240" w:lineRule="auto" w:after="120"/>
        <w:ind w:firstLine="0" w:left="0" w:right="0"/>
        <w:jc w:val="both"/>
      </w:pPr>
      <w:r>
        <w:rPr>
          <w:rFonts w:ascii="Merriweather Sans Light" w:hAnsi="Merriweather Sans Light"/>
          <w:sz w:val="24"/>
        </w:rPr>
        <w:t>1. Se uma autoridade competente ou instituição competente de um Estado</w:t>
      </w:r>
    </w:p>
    <w:p>
      <w:pPr>
        <w:spacing w:line="240" w:lineRule="auto" w:after="120"/>
        <w:ind w:firstLine="0" w:left="0" w:right="0"/>
        <w:jc w:val="both"/>
      </w:pPr>
      <w:r>
        <w:rPr>
          <w:rFonts w:ascii="Merriweather Sans Light" w:hAnsi="Merriweather Sans Light"/>
          <w:sz w:val="24"/>
        </w:rPr>
        <w:t>Contratante receber um requerimento de benefício, um recurso ou qualquer outra declaração sob a legislação do outro Estado Contratante, irá, através de seu organismo de ligação, sem demora, enviar esse requerimento, recurso ou declaração ao organismo de ligação do outro Estado Contratante, indicando a data em que foi recebido.</w:t>
      </w:r>
    </w:p>
    <w:p>
      <w:pPr>
        <w:spacing w:line="240" w:lineRule="auto" w:after="120"/>
        <w:ind w:firstLine="0" w:left="0" w:right="0"/>
        <w:jc w:val="both"/>
      </w:pPr>
      <w:r>
        <w:rPr>
          <w:rFonts w:ascii="Merriweather Sans Light" w:hAnsi="Merriweather Sans Light"/>
          <w:sz w:val="24"/>
        </w:rPr>
        <w:t>2. No que diz respeito a um requerimento, a instituição competente do primeiro</w:t>
      </w:r>
    </w:p>
    <w:p>
      <w:pPr>
        <w:spacing w:line="240" w:lineRule="auto" w:after="120"/>
        <w:ind w:firstLine="0" w:left="0" w:right="0"/>
        <w:jc w:val="both"/>
      </w:pPr>
      <w:r>
        <w:rPr>
          <w:rFonts w:ascii="Merriweather Sans Light" w:hAnsi="Merriweather Sans Light"/>
          <w:sz w:val="24"/>
        </w:rPr>
        <w:t>Estado Contratante, através do seu organismo de ligação, fornecerá ao organismo de ligação do outro Estado Contratante quaisquer informações disponíveis de sua posse, que possam ser necessárias à instituição competente do outro Estado Contratante para determinar o direito aos benefícios.</w:t>
      </w:r>
    </w:p>
    <w:p>
      <w:pPr>
        <w:spacing w:line="240" w:lineRule="auto" w:after="120"/>
        <w:ind w:firstLine="0" w:left="0" w:right="0"/>
        <w:jc w:val="both"/>
      </w:pPr>
      <w:r>
        <w:rPr>
          <w:rFonts w:ascii="Merriweather Sans Light" w:hAnsi="Merriweather Sans Light"/>
          <w:sz w:val="24"/>
        </w:rPr>
        <w:t>3. A instituição competente de um Estado Contratante que receber um</w:t>
      </w:r>
    </w:p>
    <w:p>
      <w:pPr>
        <w:spacing w:line="240" w:lineRule="auto" w:after="120"/>
        <w:ind w:firstLine="0" w:left="0" w:right="0"/>
        <w:jc w:val="both"/>
      </w:pPr>
      <w:r>
        <w:rPr>
          <w:rFonts w:ascii="Merriweather Sans Light" w:hAnsi="Merriweather Sans Light"/>
          <w:sz w:val="24"/>
        </w:rPr>
        <w:t>requerimento primeiramente apresentado à instituição competente do outro Estado Contratante irá, a pedido da instituição competente do outro Estado Contratante, sem demora, fornecer ao organismo de ligação do outro Estado Contratante, através do seu organismo de ligação, quaisquer informações disponíveis de sua posse e que possam ser necessárias à instituição competente do outro Estado Contratante para determinar o direito aos benefícios.</w:t>
      </w:r>
    </w:p>
    <w:p>
      <w:pPr>
        <w:spacing w:line="240" w:lineRule="auto" w:after="120"/>
        <w:ind w:firstLine="0" w:left="0" w:right="0"/>
        <w:jc w:val="both"/>
      </w:pPr>
      <w:r>
        <w:rPr>
          <w:rFonts w:ascii="Merriweather Sans Light" w:hAnsi="Merriweather Sans Light"/>
          <w:sz w:val="24"/>
        </w:rPr>
        <w:t>4. As informações pessoais sobre o indivíduo contidas no requerimento serão</w:t>
      </w:r>
    </w:p>
    <w:p>
      <w:pPr>
        <w:spacing w:line="240" w:lineRule="auto" w:after="120"/>
        <w:ind w:firstLine="0" w:left="0" w:right="0"/>
        <w:jc w:val="both"/>
      </w:pPr>
      <w:r>
        <w:rPr>
          <w:rFonts w:ascii="Merriweather Sans Light" w:hAnsi="Merriweather Sans Light"/>
          <w:sz w:val="24"/>
        </w:rPr>
        <w:t>verificadas pelo organismo de ligação do primeiro Estado Contratante, confirmando que a informação é corroborada por provas documentais. O tipo de informação ao qual este parágrafo se aplica e quaisquer procedimentos associados serão mutuamente decididos pelos organismos de ligação dos Estados Contratantes.</w:t>
      </w:r>
    </w:p>
    <w:p>
      <w:pPr>
        <w:spacing w:line="240" w:lineRule="auto" w:after="120"/>
        <w:ind w:firstLine="0" w:left="0" w:right="0"/>
        <w:jc w:val="both"/>
      </w:pPr>
      <w:r>
        <w:rPr>
          <w:rFonts w:ascii="Merriweather Sans Light" w:hAnsi="Merriweather Sans Light"/>
          <w:sz w:val="24"/>
        </w:rPr>
        <w:t>5. Além do requerimento e das informações referidas nos parágrafos 1, 2 e 3, o</w:t>
      </w:r>
    </w:p>
    <w:p>
      <w:pPr>
        <w:spacing w:line="240" w:lineRule="auto" w:after="120"/>
        <w:ind w:firstLine="0" w:left="0" w:right="0"/>
        <w:jc w:val="both"/>
      </w:pPr>
      <w:r>
        <w:rPr>
          <w:rFonts w:ascii="Merriweather Sans Light" w:hAnsi="Merriweather Sans Light"/>
          <w:sz w:val="24"/>
        </w:rPr>
        <w:t>organismo de ligação do primeiro Estado Contratante enviará os formulários mutuamente acordados ao organismo de ligação do outro Estado Contratante, nos idiomas Português e Japonês.</w:t>
      </w:r>
    </w:p>
    <w:p>
      <w:pPr>
        <w:spacing w:line="240" w:lineRule="auto" w:after="120" w:before="240"/>
        <w:ind w:firstLine="0" w:left="0" w:right="0"/>
        <w:jc w:val="center"/>
      </w:pPr>
      <w:r>
        <w:rPr>
          <w:rFonts w:ascii="Merriweather Sans Light" w:hAnsi="Merriweather Sans Light"/>
          <w:b/>
          <w:sz w:val="24"/>
        </w:rPr>
        <w:t>Artigo 5</w:t>
      </w:r>
    </w:p>
    <w:p>
      <w:pPr>
        <w:spacing w:line="240" w:lineRule="auto" w:after="120"/>
        <w:ind w:firstLine="0" w:left="0" w:right="0"/>
        <w:jc w:val="both"/>
      </w:pPr>
      <w:r>
        <w:rPr>
          <w:rFonts w:ascii="Merriweather Sans Light" w:hAnsi="Merriweather Sans Light"/>
          <w:sz w:val="24"/>
        </w:rPr>
        <w:t>Informações Médicas</w:t>
      </w:r>
    </w:p>
    <w:p>
      <w:pPr>
        <w:spacing w:line="240" w:lineRule="auto" w:after="120"/>
        <w:ind w:firstLine="0" w:left="0" w:right="0"/>
        <w:jc w:val="both"/>
      </w:pPr>
      <w:r>
        <w:rPr>
          <w:rFonts w:ascii="Merriweather Sans Light" w:hAnsi="Merriweather Sans Light"/>
          <w:sz w:val="24"/>
        </w:rPr>
        <w:t>1. Se uma pessoa requerer o benefício por invalidez, nos termos da legislação</w:t>
      </w:r>
    </w:p>
    <w:p>
      <w:pPr>
        <w:spacing w:line="240" w:lineRule="auto" w:after="120"/>
        <w:ind w:firstLine="0" w:left="0" w:right="0"/>
        <w:jc w:val="both"/>
      </w:pPr>
      <w:r>
        <w:rPr>
          <w:rFonts w:ascii="Merriweather Sans Light" w:hAnsi="Merriweather Sans Light"/>
          <w:sz w:val="24"/>
        </w:rPr>
        <w:t>brasileira, a uma instituição competente do Japão, esta instituição competente informará à pessoa da obrigação de apresentar o relatório médico, na forma fixada para a determinação do grau de incapacidade. Após o recebimento do relatório médico, a instituição competente do Japão, através do organismo de ligação do Japão, enviará esse relatório médico ao organismo de ligação do Brasil, depois de verificar que o mesmo foi feito por um médico.</w:t>
      </w:r>
    </w:p>
    <w:p>
      <w:pPr>
        <w:spacing w:line="240" w:lineRule="auto" w:after="120"/>
        <w:ind w:firstLine="0" w:left="0" w:right="0"/>
        <w:jc w:val="both"/>
      </w:pPr>
      <w:r>
        <w:rPr>
          <w:rFonts w:ascii="Merriweather Sans Light" w:hAnsi="Merriweather Sans Light"/>
          <w:sz w:val="24"/>
        </w:rPr>
        <w:t>2. Se a pessoa requerer o benefício por invalidez, nos termos da legislação do</w:t>
      </w:r>
    </w:p>
    <w:p>
      <w:pPr>
        <w:spacing w:line="240" w:lineRule="auto" w:after="120"/>
        <w:ind w:firstLine="0" w:left="0" w:right="0"/>
        <w:jc w:val="both"/>
      </w:pPr>
      <w:r>
        <w:rPr>
          <w:rFonts w:ascii="Merriweather Sans Light" w:hAnsi="Merriweather Sans Light"/>
          <w:sz w:val="24"/>
        </w:rPr>
        <w:t>Japão, a uma instituição competente do Brasil, esta instituição competente enviará o formulário de requerimento ao organismo de ligação do Japão e informará à pessoa que o organismo de ligação do Japão lhe enviará o formulário fixado para o relatório médico a ser feito por médico, inclusive um perito-médico do INSS. No caso de a instituição competente do Brasil receber o relatório médico dessa pessoa, essa mesma instituição competente irá, através do organismo de ligação do Brasil, enviá-lo ao organismo de ligação do Japão.</w:t>
      </w:r>
    </w:p>
    <w:p>
      <w:pPr>
        <w:spacing w:line="240" w:lineRule="auto" w:after="120" w:before="240"/>
        <w:ind w:firstLine="0" w:left="0" w:right="0"/>
        <w:jc w:val="center"/>
      </w:pPr>
      <w:r>
        <w:rPr>
          <w:rFonts w:ascii="Merriweather Sans Light" w:hAnsi="Merriweather Sans Light"/>
          <w:b/>
          <w:sz w:val="24"/>
        </w:rPr>
        <w:t>PARTE IV</w:t>
      </w:r>
    </w:p>
    <w:p>
      <w:pPr>
        <w:spacing w:line="240" w:lineRule="auto" w:after="120" w:before="240"/>
        <w:ind w:firstLine="0" w:left="0" w:right="0"/>
        <w:jc w:val="center"/>
      </w:pPr>
      <w:r>
        <w:rPr>
          <w:rFonts w:ascii="Merriweather Sans Light" w:hAnsi="Merriweather Sans Light"/>
          <w:b/>
          <w:sz w:val="24"/>
        </w:rPr>
        <w:t>DISPOSIÇÕES DIVERSAS</w:t>
      </w:r>
    </w:p>
    <w:p>
      <w:pPr>
        <w:spacing w:line="240" w:lineRule="auto" w:after="120" w:before="240"/>
        <w:ind w:firstLine="0" w:left="0" w:right="0"/>
        <w:jc w:val="center"/>
      </w:pPr>
      <w:r>
        <w:rPr>
          <w:rFonts w:ascii="Merriweather Sans Light" w:hAnsi="Merriweather Sans Light"/>
          <w:b/>
          <w:sz w:val="24"/>
        </w:rPr>
        <w:t>Artigo 6</w:t>
      </w:r>
    </w:p>
    <w:p>
      <w:pPr>
        <w:spacing w:line="240" w:lineRule="auto" w:after="120"/>
        <w:ind w:firstLine="0" w:left="0" w:right="0"/>
        <w:jc w:val="both"/>
      </w:pPr>
      <w:r>
        <w:rPr>
          <w:rFonts w:ascii="Merriweather Sans Light" w:hAnsi="Merriweather Sans Light"/>
          <w:sz w:val="24"/>
        </w:rPr>
        <w:t>Intercâmbio de Dados Estatísticos Os organismos de ligação dos Estados Contratantes intercambiarão, anualmente, dados estatísticos sobre os certificados emitidos com base no parágrafo I do Artigo 3 deste Ajuste Administrativo e sobre os pagamentos que cada um tiver feito baseado no Acordo, incluindo o número de beneficiários e o montante total dos benefícios por tipos de benefícios. Estes dados estatísticos serão fornecidos em um formulário a ser acordado pelos organismos de ligação dos Estados Contratantes.</w:t>
      </w:r>
    </w:p>
    <w:p>
      <w:pPr>
        <w:spacing w:line="240" w:lineRule="auto" w:after="120" w:before="240"/>
        <w:ind w:firstLine="0" w:left="0" w:right="0"/>
        <w:jc w:val="center"/>
      </w:pPr>
      <w:r>
        <w:rPr>
          <w:rFonts w:ascii="Merriweather Sans Light" w:hAnsi="Merriweather Sans Light"/>
          <w:b/>
          <w:sz w:val="24"/>
        </w:rPr>
        <w:t>Artigo 7</w:t>
      </w:r>
    </w:p>
    <w:p>
      <w:pPr>
        <w:spacing w:line="240" w:lineRule="auto" w:after="120"/>
        <w:ind w:firstLine="0" w:left="0" w:right="0"/>
        <w:jc w:val="both"/>
      </w:pPr>
      <w:r>
        <w:rPr>
          <w:rFonts w:ascii="Merriweather Sans Light" w:hAnsi="Merriweather Sans Light"/>
          <w:sz w:val="24"/>
        </w:rPr>
        <w:t>Formulários e Procedimentos Detalhados Os organismos de ligação dos Estados Contratantes acordarão mutuamente sobre os formulários e os procedimentos detalhados necessários à aplicação do Acordo, em cooperação com as autoridades competentes.</w:t>
      </w:r>
    </w:p>
    <w:p>
      <w:pPr>
        <w:spacing w:line="240" w:lineRule="auto" w:after="120" w:before="240"/>
        <w:ind w:firstLine="0" w:left="0" w:right="0"/>
        <w:jc w:val="center"/>
      </w:pPr>
      <w:r>
        <w:rPr>
          <w:rFonts w:ascii="Merriweather Sans Light" w:hAnsi="Merriweather Sans Light"/>
          <w:b/>
          <w:sz w:val="24"/>
        </w:rPr>
        <w:t>Artigo 8</w:t>
      </w:r>
    </w:p>
    <w:p>
      <w:pPr>
        <w:spacing w:line="240" w:lineRule="auto" w:after="120"/>
        <w:ind w:firstLine="0" w:left="0" w:right="0"/>
        <w:jc w:val="both"/>
      </w:pPr>
      <w:r>
        <w:rPr>
          <w:rFonts w:ascii="Merriweather Sans Light" w:hAnsi="Merriweather Sans Light"/>
          <w:sz w:val="24"/>
        </w:rPr>
        <w:t>Entrada em Vigor</w:t>
      </w:r>
    </w:p>
    <w:p>
      <w:pPr>
        <w:spacing w:line="240" w:lineRule="auto" w:after="120"/>
        <w:ind w:firstLine="0" w:left="0" w:right="0"/>
        <w:jc w:val="both"/>
      </w:pPr>
      <w:r>
        <w:rPr>
          <w:rFonts w:ascii="Merriweather Sans Light" w:hAnsi="Merriweather Sans Light"/>
          <w:sz w:val="24"/>
        </w:rPr>
        <w:t>1. Este Ajuste Administrativo entrará em vigor na data da entrada em vigor do</w:t>
      </w:r>
    </w:p>
    <w:p>
      <w:pPr>
        <w:spacing w:line="240" w:lineRule="auto" w:after="120"/>
        <w:ind w:firstLine="0" w:left="0" w:right="0"/>
        <w:jc w:val="both"/>
      </w:pPr>
      <w:r>
        <w:rPr>
          <w:rFonts w:ascii="Merriweather Sans Light" w:hAnsi="Merriweather Sans Light"/>
          <w:sz w:val="24"/>
        </w:rPr>
        <w:t>Acordo e permanecerá vigente enquanto o Acordo permanecer em vigor.</w:t>
      </w:r>
    </w:p>
    <w:p>
      <w:pPr>
        <w:spacing w:line="240" w:lineRule="auto" w:after="120"/>
        <w:ind w:firstLine="0" w:left="0" w:right="0"/>
        <w:jc w:val="both"/>
      </w:pPr>
      <w:r>
        <w:rPr>
          <w:rFonts w:ascii="Merriweather Sans Light" w:hAnsi="Merriweather Sans Light"/>
          <w:sz w:val="24"/>
        </w:rPr>
        <w:t>2. As autoridades competentes podem comunicar entre si, por escrito, sobre as</w:t>
      </w:r>
    </w:p>
    <w:p>
      <w:pPr>
        <w:spacing w:line="240" w:lineRule="auto" w:after="120"/>
        <w:ind w:firstLine="0" w:left="0" w:right="0"/>
        <w:jc w:val="both"/>
      </w:pPr>
      <w:r>
        <w:rPr>
          <w:rFonts w:ascii="Merriweather Sans Light" w:hAnsi="Merriweather Sans Light"/>
          <w:sz w:val="24"/>
        </w:rPr>
        <w:t>alterações nos nomes dos organismos de ligação sem a necessidade de modificar este Ajuste.</w:t>
      </w:r>
    </w:p>
    <w:p>
      <w:pPr>
        <w:spacing w:line="240" w:lineRule="auto" w:after="120"/>
        <w:ind w:firstLine="0" w:left="0" w:right="0"/>
        <w:jc w:val="both"/>
      </w:pPr>
      <w:r>
        <w:rPr>
          <w:rFonts w:ascii="Merriweather Sans Light" w:hAnsi="Merriweather Sans Light"/>
          <w:b/>
          <w:sz w:val="24"/>
        </w:rPr>
        <w:t>FEITO em duplicata em Brasília, no dia 1 de julho de 2010, em português, japonês e inglês, sendo cada texto igualmente autêntico. Em caso de qualquer divergência de interpretação, o texto em inglês prevalecerá.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rriweather Sans Light" w:hAnsi="Merriweather Sans Light"/>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