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ind w:firstLine="0" w:left="0" w:right="0"/>
        <w:jc w:val="both"/>
      </w:pPr>
      <w:r>
        <w:rPr>
          <w:rFonts w:ascii="Merriweather Sans Light" w:hAnsi="Merriweather Sans Light"/>
          <w:sz w:val="24"/>
        </w:rPr>
        <w:t>Ajuste Administrativo — Transcrição Completa</w:t>
      </w:r>
    </w:p>
    <w:p>
      <w:pPr>
        <w:spacing w:line="240" w:lineRule="auto" w:after="120" w:before="240"/>
        <w:ind w:firstLine="0" w:left="0" w:right="0"/>
        <w:jc w:val="center"/>
      </w:pPr>
      <w:r>
        <w:rPr>
          <w:rFonts w:ascii="Merriweather Sans Light" w:hAnsi="Merriweather Sans Light"/>
          <w:b/>
          <w:sz w:val="24"/>
        </w:rPr>
        <w:t>AJUSTE ADMINISTRATIVO PARA APLICACAO DO ACORDO DE PREVIDENCIA</w:t>
      </w:r>
    </w:p>
    <w:p>
      <w:pPr>
        <w:spacing w:line="240" w:lineRule="auto" w:after="120" w:before="240"/>
        <w:ind w:firstLine="0" w:left="0" w:right="0"/>
        <w:jc w:val="center"/>
      </w:pPr>
      <w:r>
        <w:rPr>
          <w:rFonts w:ascii="Merriweather Sans Light" w:hAnsi="Merriweather Sans Light"/>
          <w:b/>
          <w:sz w:val="24"/>
        </w:rPr>
        <w:t>SOCIAL ENTRE A REPUBLICA FEDERATIVA DO BRASIL E O QUEBEC</w:t>
      </w:r>
    </w:p>
    <w:p>
      <w:pPr>
        <w:spacing w:line="240" w:lineRule="auto" w:after="120"/>
        <w:ind w:firstLine="0" w:left="0" w:right="0"/>
        <w:jc w:val="both"/>
      </w:pPr>
      <w:r>
        <w:rPr>
          <w:rFonts w:ascii="Merriweather Sans Light" w:hAnsi="Merriweather Sans Light"/>
          <w:sz w:val="24"/>
        </w:rPr>
        <w:t>A Autoridade Competente da República Federativa do Brasil e A Autoridade Competente do Quebec,</w:t>
      </w:r>
    </w:p>
    <w:p>
      <w:pPr>
        <w:spacing w:line="240" w:lineRule="auto" w:after="120"/>
        <w:ind w:firstLine="0" w:left="0" w:right="0"/>
        <w:jc w:val="both"/>
      </w:pPr>
      <w:r>
        <w:rPr>
          <w:rFonts w:ascii="Merriweather Sans Light" w:hAnsi="Merriweather Sans Light"/>
          <w:b/>
          <w:sz w:val="24"/>
        </w:rPr>
        <w:t>Considerando o parágrafo 1 do Artigo 17 do Acordo de Previdência Social entre o Quebec ¢ a República Federativa do Brasil;</w:t>
      </w:r>
    </w:p>
    <w:p>
      <w:pPr>
        <w:spacing w:line="240" w:lineRule="auto" w:after="120"/>
        <w:ind w:firstLine="0" w:left="0" w:right="0"/>
        <w:jc w:val="both"/>
      </w:pPr>
      <w:r>
        <w:rPr>
          <w:rFonts w:ascii="Merriweather Sans Light" w:hAnsi="Merriweather Sans Light"/>
          <w:sz w:val="24"/>
        </w:rPr>
        <w:t>Acordam as seguintes disposições:</w:t>
      </w:r>
    </w:p>
    <w:p>
      <w:pPr>
        <w:spacing w:line="240" w:lineRule="auto" w:after="120" w:before="240"/>
        <w:ind w:firstLine="0" w:left="0" w:right="0"/>
        <w:jc w:val="center"/>
      </w:pPr>
      <w:r>
        <w:rPr>
          <w:rFonts w:ascii="Merriweather Sans Light" w:hAnsi="Merriweather Sans Light"/>
          <w:b/>
          <w:sz w:val="24"/>
        </w:rPr>
        <w:t>ARTIGO 1</w:t>
      </w:r>
    </w:p>
    <w:p>
      <w:pPr>
        <w:spacing w:line="240" w:lineRule="auto" w:after="120"/>
        <w:ind w:firstLine="0" w:left="0" w:right="0"/>
        <w:jc w:val="both"/>
      </w:pPr>
      <w:r>
        <w:rPr>
          <w:rFonts w:ascii="Merriweather Sans Light" w:hAnsi="Merriweather Sans Light"/>
          <w:sz w:val="24"/>
        </w:rPr>
        <w:t>Definigdes No presente Ajuste Administrativo:</w:t>
      </w:r>
    </w:p>
    <w:p>
      <w:pPr>
        <w:spacing w:line="240" w:lineRule="auto" w:after="120"/>
        <w:ind w:firstLine="0" w:left="0" w:right="0"/>
        <w:jc w:val="both"/>
      </w:pPr>
      <w:r>
        <w:rPr>
          <w:rFonts w:ascii="Merriweather Sans Light" w:hAnsi="Merriweather Sans Light"/>
          <w:sz w:val="24"/>
        </w:rPr>
        <w:t>a) o termo "Acordo" designa o Acordo de Previdência Social entre o Quebec ¢ a</w:t>
      </w:r>
    </w:p>
    <w:p>
      <w:pPr>
        <w:spacing w:line="240" w:lineRule="auto" w:after="120"/>
        <w:ind w:firstLine="0" w:left="0" w:right="0"/>
        <w:jc w:val="both"/>
      </w:pPr>
      <w:r>
        <w:rPr>
          <w:rFonts w:ascii="Merriweather Sans Light" w:hAnsi="Merriweather Sans Light"/>
          <w:sz w:val="24"/>
        </w:rPr>
        <w:t>República Federativa do Brasil;</w:t>
      </w:r>
    </w:p>
    <w:p>
      <w:pPr>
        <w:spacing w:line="240" w:lineRule="auto" w:after="120"/>
        <w:ind w:firstLine="0" w:left="0" w:right="0"/>
        <w:jc w:val="both"/>
      </w:pPr>
      <w:r>
        <w:rPr>
          <w:rFonts w:ascii="Merriweather Sans Light" w:hAnsi="Merriweather Sans Light"/>
          <w:sz w:val="24"/>
        </w:rPr>
        <w:t>b) os demais termos empregados tém o significado que thes atribui o Artigo 1 do</w:t>
      </w:r>
    </w:p>
    <w:p>
      <w:pPr>
        <w:spacing w:line="240" w:lineRule="auto" w:after="120"/>
        <w:ind w:firstLine="0" w:left="0" w:right="0"/>
        <w:jc w:val="both"/>
      </w:pPr>
      <w:r>
        <w:rPr>
          <w:rFonts w:ascii="Merriweather Sans Light" w:hAnsi="Merriweather Sans Light"/>
          <w:sz w:val="24"/>
        </w:rPr>
        <w:t>Acordo.</w:t>
      </w:r>
    </w:p>
    <w:p>
      <w:pPr>
        <w:spacing w:line="240" w:lineRule="auto" w:after="120" w:before="240"/>
        <w:ind w:firstLine="0" w:left="0" w:right="0"/>
        <w:jc w:val="center"/>
      </w:pPr>
      <w:r>
        <w:rPr>
          <w:rFonts w:ascii="Merriweather Sans Light" w:hAnsi="Merriweather Sans Light"/>
          <w:b/>
          <w:sz w:val="24"/>
        </w:rPr>
        <w:t>ARTIGO 2</w:t>
      </w:r>
    </w:p>
    <w:p>
      <w:pPr>
        <w:spacing w:line="240" w:lineRule="auto" w:after="120"/>
        <w:ind w:firstLine="0" w:left="0" w:right="0"/>
        <w:jc w:val="both"/>
      </w:pPr>
      <w:r>
        <w:rPr>
          <w:rFonts w:ascii="Merriweather Sans Light" w:hAnsi="Merriweather Sans Light"/>
          <w:sz w:val="24"/>
        </w:rPr>
        <w:t>Organismos de ligação Os organismos de ligação referidos no Artigo 17 do Acordo tém como função facilitar a aplicação do Acordo e adotar as medidas necessárias para assegurar uma gestão eficaz. Ficam designados os seguintes organismos de ligação:</w:t>
      </w:r>
    </w:p>
    <w:p>
      <w:pPr>
        <w:spacing w:line="240" w:lineRule="auto" w:after="120"/>
        <w:ind w:firstLine="0" w:left="0" w:right="0"/>
        <w:jc w:val="both"/>
      </w:pPr>
      <w:r>
        <w:rPr>
          <w:rFonts w:ascii="Merriweather Sans Light" w:hAnsi="Merriweather Sans Light"/>
          <w:sz w:val="24"/>
        </w:rPr>
        <w:t>a) para o Quebec, Bureau des ententes de sécurité sociale de la Régie des rentes du</w:t>
      </w:r>
    </w:p>
    <w:p>
      <w:pPr>
        <w:spacing w:line="240" w:lineRule="auto" w:after="120"/>
        <w:ind w:firstLine="0" w:left="0" w:right="0"/>
        <w:jc w:val="both"/>
      </w:pPr>
      <w:r>
        <w:rPr>
          <w:rFonts w:ascii="Merriweather Sans Light" w:hAnsi="Merriweather Sans Light"/>
          <w:sz w:val="24"/>
        </w:rPr>
        <w:t>Québec (Repartição de Acordos de Previdência Social da Superintendência do Regime Geral de Previdência Social do Quebec) ou qualquer outro organismo que o Governo do Quebec designe posteriormente;</w:t>
      </w:r>
    </w:p>
    <w:p>
      <w:pPr>
        <w:spacing w:line="240" w:lineRule="auto" w:after="120"/>
        <w:ind w:firstLine="0" w:left="0" w:right="0"/>
        <w:jc w:val="both"/>
      </w:pPr>
      <w:r>
        <w:rPr>
          <w:rFonts w:ascii="Merriweather Sans Light" w:hAnsi="Merriweather Sans Light"/>
          <w:sz w:val="24"/>
        </w:rPr>
        <w:t>b) para o Brasil, o Instituto Nacional do Seguro Social ~ INSS.</w:t>
      </w:r>
    </w:p>
    <w:p>
      <w:pPr>
        <w:spacing w:line="240" w:lineRule="auto" w:after="120" w:before="240"/>
        <w:ind w:firstLine="0" w:left="0" w:right="0"/>
        <w:jc w:val="center"/>
      </w:pPr>
      <w:r>
        <w:rPr>
          <w:rFonts w:ascii="Merriweather Sans Light" w:hAnsi="Merriweather Sans Light"/>
          <w:b/>
          <w:sz w:val="24"/>
        </w:rPr>
        <w:t>ARTIGO3</w:t>
      </w:r>
    </w:p>
    <w:p>
      <w:pPr>
        <w:spacing w:line="240" w:lineRule="auto" w:after="120"/>
        <w:ind w:firstLine="0" w:left="0" w:right="0"/>
        <w:jc w:val="both"/>
      </w:pPr>
      <w:r>
        <w:rPr>
          <w:rFonts w:ascii="Merriweather Sans Light" w:hAnsi="Merriweather Sans Light"/>
          <w:sz w:val="24"/>
        </w:rPr>
        <w:t>Certificado de cobertura</w:t>
      </w:r>
    </w:p>
    <w:p>
      <w:pPr>
        <w:spacing w:line="240" w:lineRule="auto" w:after="120"/>
        <w:ind w:firstLine="0" w:left="0" w:right="0"/>
        <w:jc w:val="both"/>
      </w:pPr>
      <w:r>
        <w:rPr>
          <w:rFonts w:ascii="Merriweather Sans Light" w:hAnsi="Merriweather Sans Light"/>
          <w:sz w:val="24"/>
        </w:rPr>
        <w:t>1. Para aplicação dos Artigos 7 e 8, do parágrafo 1 do Artigo 10 e do Artigo 11 do</w:t>
      </w:r>
    </w:p>
    <w:p>
      <w:pPr>
        <w:spacing w:line="240" w:lineRule="auto" w:after="120"/>
        <w:ind w:firstLine="0" w:left="0" w:right="0"/>
        <w:jc w:val="both"/>
      </w:pPr>
      <w:r>
        <w:rPr>
          <w:rFonts w:ascii="Merriweather Sans Light" w:hAnsi="Merriweather Sans Light"/>
          <w:sz w:val="24"/>
        </w:rPr>
        <w:t>Acordo, quando uma pessoa € sujeita 4 legislação de uma Parte, embora trabalhe no território da outra Parte, um certificado de cobertura é expedido:</w:t>
      </w:r>
    </w:p>
    <w:p>
      <w:pPr>
        <w:spacing w:line="240" w:lineRule="auto" w:after="120"/>
        <w:ind w:firstLine="0" w:left="0" w:right="0"/>
        <w:jc w:val="both"/>
      </w:pPr>
      <w:r>
        <w:rPr>
          <w:rFonts w:ascii="Merriweather Sans Light" w:hAnsi="Merriweather Sans Light"/>
          <w:sz w:val="24"/>
        </w:rPr>
        <w:t>a) pelo organismo de ligago do Quebec, quando a pessoa permanece sujeita a</w:t>
      </w:r>
    </w:p>
    <w:p>
      <w:pPr>
        <w:spacing w:line="240" w:lineRule="auto" w:after="120"/>
        <w:ind w:firstLine="0" w:left="0" w:right="0"/>
        <w:jc w:val="both"/>
      </w:pPr>
      <w:r>
        <w:rPr>
          <w:rFonts w:ascii="Merriweather Sans Light" w:hAnsi="Merriweather Sans Light"/>
          <w:sz w:val="24"/>
        </w:rPr>
        <w:t>legislação do Quebec;</w:t>
      </w:r>
    </w:p>
    <w:p>
      <w:pPr>
        <w:spacing w:line="240" w:lineRule="auto" w:after="120"/>
        <w:ind w:firstLine="0" w:left="0" w:right="0"/>
        <w:jc w:val="both"/>
      </w:pPr>
      <w:r>
        <w:rPr>
          <w:rFonts w:ascii="Merriweather Sans Light" w:hAnsi="Merriweather Sans Light"/>
          <w:sz w:val="24"/>
        </w:rPr>
        <w:t>b) pelo organismo de ligação do Brasil, quando a pessoa permanece sujeita a</w:t>
      </w:r>
    </w:p>
    <w:p>
      <w:pPr>
        <w:spacing w:line="240" w:lineRule="auto" w:after="120"/>
        <w:ind w:firstLine="0" w:left="0" w:right="0"/>
        <w:jc w:val="both"/>
      </w:pPr>
      <w:r>
        <w:rPr>
          <w:rFonts w:ascii="Merriweather Sans Light" w:hAnsi="Merriweather Sans Light"/>
          <w:sz w:val="24"/>
        </w:rPr>
        <w:t>legislagdo do Brasil.</w:t>
      </w:r>
    </w:p>
    <w:p>
      <w:pPr>
        <w:spacing w:line="240" w:lineRule="auto" w:after="120"/>
        <w:ind w:firstLine="0" w:left="0" w:right="0"/>
        <w:jc w:val="both"/>
      </w:pPr>
      <w:r>
        <w:rPr>
          <w:rFonts w:ascii="Merriweather Sans Light" w:hAnsi="Merriweather Sans Light"/>
          <w:sz w:val="24"/>
        </w:rPr>
        <w:t>2. O organismo de ligação emite o certificado de cobertura e o entrega ao requerente</w:t>
      </w:r>
    </w:p>
    <w:p>
      <w:pPr>
        <w:spacing w:line="240" w:lineRule="auto" w:after="120"/>
        <w:ind w:firstLine="0" w:left="0" w:right="0"/>
        <w:jc w:val="both"/>
      </w:pPr>
      <w:r>
        <w:rPr>
          <w:rFonts w:ascii="Merriweather Sans Light" w:hAnsi="Merriweather Sans Light"/>
          <w:sz w:val="24"/>
        </w:rPr>
        <w:t>que, quando tratar-se de empregador, 0 encaminha ao empregado. Uma copia autenticada é enviada ao Organismo de Ligagao da outra Parte.</w:t>
      </w:r>
    </w:p>
    <w:p>
      <w:pPr>
        <w:spacing w:line="240" w:lineRule="auto" w:after="120"/>
        <w:ind w:firstLine="0" w:left="0" w:right="0"/>
        <w:jc w:val="both"/>
      </w:pPr>
      <w:r>
        <w:rPr>
          <w:rFonts w:ascii="Merriweather Sans Light" w:hAnsi="Merriweather Sans Light"/>
          <w:sz w:val="24"/>
        </w:rPr>
        <w:t>3. Um certificado de cobertura é emitido para cada período individual de deslocamento.</w:t>
      </w:r>
    </w:p>
    <w:p>
      <w:pPr>
        <w:spacing w:line="240" w:lineRule="auto" w:after="120"/>
        <w:ind w:firstLine="0" w:left="0" w:right="0"/>
        <w:jc w:val="both"/>
      </w:pPr>
      <w:r>
        <w:rPr>
          <w:rFonts w:ascii="Merriweather Sans Light" w:hAnsi="Merriweather Sans Light"/>
          <w:sz w:val="24"/>
        </w:rPr>
        <w:t>A soma desses períodos somente poderd exceder sessenta meses através da aplicagdo do Artigo 11 do Acordo, 4, Para aplicação do Artigo 11 do Acordo, as exceções do cumprimento das disposi¢des devem resultar da troca de informações entre os organismos de ligago, comunicando-se a decisdo.</w:t>
      </w:r>
    </w:p>
    <w:p>
      <w:pPr>
        <w:spacing w:line="240" w:lineRule="auto" w:after="120" w:before="240"/>
        <w:ind w:firstLine="0" w:left="0" w:right="0"/>
        <w:jc w:val="center"/>
      </w:pPr>
      <w:r>
        <w:rPr>
          <w:rFonts w:ascii="Merriweather Sans Light" w:hAnsi="Merriweather Sans Light"/>
          <w:b/>
          <w:sz w:val="24"/>
        </w:rPr>
        <w:t>ARTIGO 4</w:t>
      </w:r>
    </w:p>
    <w:p>
      <w:pPr>
        <w:spacing w:line="240" w:lineRule="auto" w:after="120"/>
        <w:ind w:firstLine="0" w:left="0" w:right="0"/>
        <w:jc w:val="both"/>
      </w:pPr>
      <w:r>
        <w:rPr>
          <w:rFonts w:ascii="Merriweather Sans Light" w:hAnsi="Merriweather Sans Light"/>
          <w:sz w:val="24"/>
        </w:rPr>
        <w:t>Prestagdes</w:t>
      </w:r>
    </w:p>
    <w:p>
      <w:pPr>
        <w:spacing w:line="240" w:lineRule="auto" w:after="120"/>
        <w:ind w:firstLine="0" w:left="0" w:right="0"/>
        <w:jc w:val="both"/>
      </w:pPr>
      <w:r>
        <w:rPr>
          <w:rFonts w:ascii="Merriweather Sans Light" w:hAnsi="Merriweather Sans Light"/>
          <w:sz w:val="24"/>
        </w:rPr>
        <w:t>1. Para aplicação do Titulo III do Acordo, uma solicitag&amp;o de prestação em virtude do</w:t>
      </w:r>
    </w:p>
    <w:p>
      <w:pPr>
        <w:spacing w:line="240" w:lineRule="auto" w:after="120"/>
        <w:ind w:firstLine="0" w:left="0" w:right="0"/>
        <w:jc w:val="both"/>
      </w:pPr>
      <w:r>
        <w:rPr>
          <w:rFonts w:ascii="Merriweather Sans Light" w:hAnsi="Merriweather Sans Light"/>
          <w:sz w:val="24"/>
        </w:rPr>
        <w:t>Acordo pode ser apresentada ao organismo de ligac&amp;o de uma das Partes ou a instituição competente da Parte cuja legislagiio seja aplicavel, acompanhada obrigatoriamente dos comprovantes. 2, Quando a solicitagio de prestagdo citada no parágrafo 1 é apresentada aun organismo de ligagZio, este encaminha a solicitagio a instituigéo competente da Parte cuja legislação é aplicavel, acompanhada das cópias dos comprovantes obrigatérios que são autenticadas pelo respectivo organismo. 3, O organismo de ligacio que, inicialmente, recebe a solicitação, conserva uma cópia da solicitagdio de prestagfio e dos comprovantes e, quando solicitado, coloca a disposigéo da institui¢do competente da outra Parte uma cópia de tais documentos, 4, Um formulário de ligag%o acompanha a solicitag#o ¢ os comprovantes visados no presente Artigo.</w:t>
      </w:r>
    </w:p>
    <w:p>
      <w:pPr>
        <w:spacing w:line="240" w:lineRule="auto" w:after="120"/>
        <w:ind w:firstLine="0" w:left="0" w:right="0"/>
        <w:jc w:val="both"/>
      </w:pPr>
      <w:r>
        <w:rPr>
          <w:rFonts w:ascii="Merriweather Sans Light" w:hAnsi="Merriweather Sans Light"/>
          <w:sz w:val="24"/>
        </w:rPr>
        <w:t>3. Quando a instituig&amp;o competente ou o organismo de ligagiio de uma Parte solicita, o</w:t>
      </w:r>
    </w:p>
    <w:p>
      <w:pPr>
        <w:spacing w:line="240" w:lineRule="auto" w:after="120"/>
        <w:ind w:firstLine="0" w:left="0" w:right="0"/>
        <w:jc w:val="both"/>
      </w:pPr>
      <w:r>
        <w:rPr>
          <w:rFonts w:ascii="Merriweather Sans Light" w:hAnsi="Merriweather Sans Light"/>
          <w:sz w:val="24"/>
        </w:rPr>
        <w:t>Organismo de Ligação ou a Instituição Competente da outra Parte indica no formulário de ligação os periodos de seguro reconhecidos em virtude da legislação aplicavel.</w:t>
      </w:r>
    </w:p>
    <w:p>
      <w:pPr>
        <w:spacing w:line="240" w:lineRule="auto" w:after="120"/>
        <w:ind w:firstLine="0" w:left="0" w:right="0"/>
        <w:jc w:val="both"/>
      </w:pPr>
      <w:r>
        <w:rPr>
          <w:rFonts w:ascii="Merriweather Sans Light" w:hAnsi="Merriweather Sans Light"/>
          <w:sz w:val="24"/>
        </w:rPr>
        <w:t>6. Quando a instituigéo competente adota uma decisio em virtude da legislagdo que</w:t>
      </w:r>
    </w:p>
    <w:p>
      <w:pPr>
        <w:spacing w:line="240" w:lineRule="auto" w:after="120"/>
        <w:ind w:firstLine="0" w:left="0" w:right="0"/>
        <w:jc w:val="both"/>
      </w:pPr>
      <w:r>
        <w:rPr>
          <w:rFonts w:ascii="Merriweather Sans Light" w:hAnsi="Merriweather Sans Light"/>
          <w:sz w:val="24"/>
        </w:rPr>
        <w:t>aplica, o solicitante é informado, orientado e avisado do prazo para recorrer previsto por essa legislação. O mesmo também é comunicado ao organismo de ligação da outra Parte através da utilizagdo do formulário de ligação. 7 As informagdes sobre as pericias médicas sfo fornecidas no formulário “Parecer Médico” e, se houver, informagdSes médicas complementares sfio anexadas a esse parecer, Um exame complementar pode ser solicitado se a instituição competente julgar necessário.</w:t>
      </w:r>
    </w:p>
    <w:p>
      <w:pPr>
        <w:spacing w:line="240" w:lineRule="auto" w:after="120" w:before="240"/>
        <w:ind w:firstLine="0" w:left="0" w:right="0"/>
        <w:jc w:val="center"/>
      </w:pPr>
      <w:r>
        <w:rPr>
          <w:rFonts w:ascii="Merriweather Sans Light" w:hAnsi="Merriweather Sans Light"/>
          <w:b/>
          <w:sz w:val="24"/>
        </w:rPr>
        <w:t>ARTIGO 5</w:t>
      </w:r>
    </w:p>
    <w:p>
      <w:pPr>
        <w:spacing w:line="240" w:lineRule="auto" w:after="120"/>
        <w:ind w:firstLine="0" w:left="0" w:right="0"/>
        <w:jc w:val="both"/>
      </w:pPr>
      <w:r>
        <w:rPr>
          <w:rFonts w:ascii="Merriweather Sans Light" w:hAnsi="Merriweather Sans Light"/>
          <w:sz w:val="24"/>
        </w:rPr>
        <w:t>Reembolso entre instituições 1 Para aplicação do Artigo 25 do Acordo, ao término de cada ano civil, 0 organismo de ligação envia um pedido de reembolso ao organismo de ligação da outra Parte referente aos exames complementares, em atendimento a solicitação da instituição competente dessa Parte.</w:t>
      </w:r>
    </w:p>
    <w:p>
      <w:pPr>
        <w:spacing w:line="240" w:lineRule="auto" w:after="120"/>
        <w:ind w:firstLine="0" w:left="0" w:right="0"/>
        <w:jc w:val="both"/>
      </w:pPr>
      <w:r>
        <w:rPr>
          <w:rFonts w:ascii="Merriweather Sans Light" w:hAnsi="Merriweather Sans Light"/>
          <w:sz w:val="24"/>
        </w:rPr>
        <w:t>2. Os valores dos reembolsos devem ser liquidados no semestre subsequente 4 data de</w:t>
      </w:r>
    </w:p>
    <w:p>
      <w:pPr>
        <w:spacing w:line="240" w:lineRule="auto" w:after="120"/>
        <w:ind w:firstLine="0" w:left="0" w:right="0"/>
        <w:jc w:val="both"/>
      </w:pPr>
      <w:r>
        <w:rPr>
          <w:rFonts w:ascii="Merriweather Sans Light" w:hAnsi="Merriweather Sans Light"/>
          <w:sz w:val="24"/>
        </w:rPr>
        <w:t>recepção dos pedidos de reembolso, efetuados em conformidade com as disposigdes do parágrafo 1.</w:t>
      </w:r>
    </w:p>
    <w:p>
      <w:pPr>
        <w:spacing w:line="240" w:lineRule="auto" w:after="120" w:before="240"/>
        <w:ind w:firstLine="0" w:left="0" w:right="0"/>
        <w:jc w:val="center"/>
      </w:pPr>
      <w:r>
        <w:rPr>
          <w:rFonts w:ascii="Merriweather Sans Light" w:hAnsi="Merriweather Sans Light"/>
          <w:b/>
          <w:sz w:val="24"/>
        </w:rPr>
        <w:t>ARTIGO 6</w:t>
      </w:r>
    </w:p>
    <w:p>
      <w:pPr>
        <w:spacing w:line="240" w:lineRule="auto" w:after="120"/>
        <w:ind w:firstLine="0" w:left="0" w:right="0"/>
        <w:jc w:val="both"/>
      </w:pPr>
      <w:r>
        <w:rPr>
          <w:rFonts w:ascii="Merriweather Sans Light" w:hAnsi="Merriweather Sans Light"/>
          <w:sz w:val="24"/>
        </w:rPr>
        <w:t>Formularios 1 Os formulários padrões necessários &amp; aplicação do Acordo e do presente Ajuste Administrativo so definidos de comum acordo pelos organismos de ligação ou pelas instituições competentes de ambas as Partes.</w:t>
      </w:r>
    </w:p>
    <w:p>
      <w:pPr>
        <w:spacing w:line="240" w:lineRule="auto" w:after="120"/>
        <w:ind w:firstLine="0" w:left="0" w:right="0"/>
        <w:jc w:val="both"/>
      </w:pPr>
      <w:r>
        <w:rPr>
          <w:rFonts w:ascii="Merriweather Sans Light" w:hAnsi="Merriweather Sans Light"/>
          <w:sz w:val="24"/>
        </w:rPr>
        <w:t>2. De comum acordo, as autoridades competentes poderão utilizar um sistema de</w:t>
      </w:r>
    </w:p>
    <w:p>
      <w:pPr>
        <w:spacing w:line="240" w:lineRule="auto" w:after="120"/>
        <w:ind w:firstLine="0" w:left="0" w:right="0"/>
        <w:jc w:val="both"/>
      </w:pPr>
      <w:r>
        <w:rPr>
          <w:rFonts w:ascii="Merriweather Sans Light" w:hAnsi="Merriweather Sans Light"/>
          <w:sz w:val="24"/>
        </w:rPr>
        <w:t>transmissão de dados e documentos entre as instituigdes por via eletrônica, informática ¢ telemática. Disposições serfo tomadas para garantir a transmissão segura desses dados e documentos.</w:t>
      </w:r>
    </w:p>
    <w:p>
      <w:pPr>
        <w:spacing w:line="240" w:lineRule="auto" w:after="120" w:before="240"/>
        <w:ind w:firstLine="0" w:left="0" w:right="0"/>
        <w:jc w:val="center"/>
      </w:pPr>
      <w:r>
        <w:rPr>
          <w:rFonts w:ascii="Merriweather Sans Light" w:hAnsi="Merriweather Sans Light"/>
          <w:b/>
          <w:sz w:val="24"/>
        </w:rPr>
        <w:t>ARTIGO 7</w:t>
      </w:r>
    </w:p>
    <w:p>
      <w:pPr>
        <w:spacing w:line="240" w:lineRule="auto" w:after="120"/>
        <w:ind w:firstLine="0" w:left="0" w:right="0"/>
        <w:jc w:val="both"/>
      </w:pPr>
      <w:r>
        <w:rPr>
          <w:rFonts w:ascii="Merriweather Sans Light" w:hAnsi="Merriweather Sans Light"/>
          <w:sz w:val="24"/>
        </w:rPr>
        <w:t>Dados estatisticos Os organismos de ligação de ambas as Partes trocam, conforme por eles definido, os dados estatísticos relativos aos pagamentos efetuados aos beneficiários em virtude da aplicação do Titulo IMI do Acordo durante cada ano civil. Tais dados compreendem o número de beneficiários e 0 valor total das prestações por categoria,</w:t>
      </w:r>
    </w:p>
    <w:p>
      <w:pPr>
        <w:spacing w:line="240" w:lineRule="auto" w:after="120" w:before="240"/>
        <w:ind w:firstLine="0" w:left="0" w:right="0"/>
        <w:jc w:val="center"/>
      </w:pPr>
      <w:r>
        <w:rPr>
          <w:rFonts w:ascii="Merriweather Sans Light" w:hAnsi="Merriweather Sans Light"/>
          <w:b/>
          <w:sz w:val="24"/>
        </w:rPr>
        <w:t>ARTIGO 8</w:t>
      </w:r>
    </w:p>
    <w:p>
      <w:pPr>
        <w:spacing w:line="240" w:lineRule="auto" w:after="120"/>
        <w:ind w:firstLine="0" w:left="0" w:right="0"/>
        <w:jc w:val="both"/>
      </w:pPr>
      <w:r>
        <w:rPr>
          <w:rFonts w:ascii="Merriweather Sans Light" w:hAnsi="Merriweather Sans Light"/>
          <w:sz w:val="24"/>
        </w:rPr>
        <w:t>Entrada em vigor e duração A entrada em vigor do Ajuste Administrativo ocorrerá na mesma data do Acordo e terá idéntica duração.</w:t>
      </w:r>
    </w:p>
    <w:p>
      <w:pPr>
        <w:spacing w:line="240" w:lineRule="auto" w:after="120"/>
        <w:ind w:firstLine="0" w:left="0" w:right="0"/>
        <w:jc w:val="both"/>
      </w:pPr>
      <w:r>
        <w:rPr>
          <w:rFonts w:ascii="Merriweather Sans Light" w:hAnsi="Merriweather Sans Light"/>
          <w:b/>
          <w:sz w:val="24"/>
        </w:rPr>
        <w:t>Feito em Brasília, em 26 do mês de outubro de 2011, em dois exemplares, em língua Portuguesa e em língua francesa, sendo ambos os textos igualmente autênticos.</w:t>
      </w:r>
    </w:p>
    <w:p>
      <w:pPr>
        <w:spacing w:line="240" w:lineRule="auto" w:after="120" w:before="240"/>
        <w:ind w:firstLine="0" w:left="0" w:right="0"/>
        <w:jc w:val="center"/>
      </w:pPr>
      <w:r>
        <w:rPr>
          <w:rFonts w:ascii="Merriweather Sans Light" w:hAnsi="Merriweather Sans Light"/>
          <w:b/>
          <w:sz w:val="24"/>
        </w:rPr>
        <w:t>PELA AUTORIDADE COMPETENTE DA PELA AUTORIDADE COMPETENTE DO</w:t>
      </w:r>
    </w:p>
    <w:p>
      <w:pPr>
        <w:spacing w:line="240" w:lineRule="auto" w:after="120" w:before="240"/>
        <w:ind w:firstLine="0" w:left="0" w:right="0"/>
        <w:jc w:val="center"/>
      </w:pPr>
      <w:r>
        <w:rPr>
          <w:rFonts w:ascii="Merriweather Sans Light" w:hAnsi="Merriweather Sans Light"/>
          <w:b/>
          <w:sz w:val="24"/>
        </w:rPr>
        <w:t>REPUBLICA FEDERATIVA DO BRASIL QUEBEC</w:t>
      </w:r>
    </w:p>
    <w:p>
      <w:pPr>
        <w:spacing w:line="240" w:lineRule="auto" w:after="120"/>
        <w:ind w:firstLine="0" w:left="0" w:right="0"/>
        <w:jc w:val="both"/>
      </w:pPr>
      <w:r>
        <w:rPr>
          <w:rFonts w:ascii="Merriweather Sans Light" w:hAnsi="Merriweather Sans Light"/>
          <w:sz w:val="24"/>
        </w:rPr>
        <w:t>CO Cuvee. ‘s \\ Garibaldi Alves Filho O Ministro da Previdência Social do Brasil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