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FICHA</w:t>
      </w:r>
      <w:r>
        <w:t xml:space="preserve"> </w:t>
      </w:r>
      <w:r>
        <w:t xml:space="preserve">DE</w:t>
      </w:r>
      <w:r>
        <w:t xml:space="preserve"> </w:t>
      </w:r>
      <w:r>
        <w:t xml:space="preserve">APURAÇÃO</w:t>
      </w:r>
      <w:r>
        <w:t xml:space="preserve"> </w:t>
      </w:r>
      <w:r>
        <w:t xml:space="preserve">DE</w:t>
      </w:r>
      <w:r>
        <w:t xml:space="preserve"> </w:t>
      </w:r>
      <w:r>
        <w:t xml:space="preserve">INCONSISTÊNCIAS</w:t>
      </w:r>
      <w:r>
        <w:t xml:space="preserve"> </w:t>
      </w:r>
      <w:r>
        <w:t xml:space="preserve">-</w:t>
      </w:r>
      <w:r>
        <w:t xml:space="preserve"> </w:t>
      </w:r>
      <w:r>
        <w:t xml:space="preserve">RPPS</w:t>
      </w:r>
    </w:p>
    <w:p>
      <w:pPr>
        <w:pStyle w:val="FirstParagraph"/>
      </w:pPr>
      <w:r>
        <w:t xml:space="preserve">ENTE:</w:t>
      </w:r>
      <w:r>
        <w:t xml:space="preserve"> </w:t>
      </w:r>
      <w:r>
        <w:rPr>
          <w:b/>
        </w:rPr>
        <w:t xml:space="preserve">ARARUAMA</w:t>
      </w:r>
      <w:r>
        <w:br w:type="textWrapping"/>
      </w:r>
      <w:r>
        <w:t xml:space="preserve">CNPJ:</w:t>
      </w:r>
      <w:r>
        <w:t xml:space="preserve"> </w:t>
      </w:r>
      <w:r>
        <w:rPr>
          <w:b/>
        </w:rPr>
        <w:t xml:space="preserve">28.531.762/0001-33</w:t>
      </w:r>
    </w:p>
    <w:p>
      <w:pPr>
        <w:pStyle w:val="Ttulo1"/>
      </w:pPr>
      <w:bookmarkStart w:id="21" w:name="certificado-de-regularidade-previdenciaria---crp"/>
      <w:bookmarkEnd w:id="21"/>
      <w:r>
        <w:t xml:space="preserve">1. Certificado de Regularidade Previdenciária - CRP</w:t>
      </w:r>
    </w:p>
    <w:p>
      <w:pPr>
        <w:pStyle w:val="FirstParagraph"/>
      </w:pPr>
      <w:r>
        <w:t xml:space="preserve">Data de Consulta do CRP:</w:t>
      </w:r>
      <w:r>
        <w:t xml:space="preserve"> </w:t>
      </w:r>
      <w:r>
        <w:rPr>
          <w:b/>
        </w:rPr>
        <w:t xml:space="preserve">01/12/2017</w:t>
      </w:r>
    </w:p>
    <w:p>
      <w:pPr>
        <w:pStyle w:val="Corpodetexto"/>
      </w:pPr>
      <w:r>
        <w:t xml:space="preserve">Nº CRP:</w:t>
      </w:r>
      <w:r>
        <w:t xml:space="preserve"> </w:t>
      </w:r>
      <w:r>
        <w:rPr>
          <w:b/>
        </w:rPr>
        <w:t xml:space="preserve">985803-28572</w:t>
      </w:r>
    </w:p>
    <w:p>
      <w:pPr>
        <w:pStyle w:val="Corpodetexto"/>
      </w:pPr>
      <w:r>
        <w:t xml:space="preserve">Data de Emissão:</w:t>
      </w:r>
      <w:r>
        <w:t xml:space="preserve"> </w:t>
      </w:r>
      <w:r>
        <w:rPr>
          <w:b/>
        </w:rPr>
        <w:t xml:space="preserve">23/12/2004</w:t>
      </w:r>
    </w:p>
    <w:p>
      <w:pPr>
        <w:pStyle w:val="Corpodetexto"/>
      </w:pPr>
      <w:r>
        <w:t xml:space="preserve">Data de Validade:</w:t>
      </w:r>
      <w:r>
        <w:t xml:space="preserve"> </w:t>
      </w:r>
      <w:r>
        <w:rPr>
          <w:b/>
        </w:rPr>
        <w:t xml:space="preserve">21/02/2005</w:t>
      </w:r>
    </w:p>
    <w:p>
      <w:pPr>
        <w:pStyle w:val="Corpodetexto"/>
      </w:pPr>
      <w:r>
        <w:t xml:space="preserve">Status:</w:t>
      </w:r>
      <w:r>
        <w:t xml:space="preserve"> </w:t>
      </w:r>
      <w:r>
        <w:rPr>
          <w:b/>
        </w:rPr>
        <w:t xml:space="preserve">CRP VENCIDO HÃ MAIS DE 1 ANO</w:t>
      </w:r>
    </w:p>
    <w:p>
      <w:pPr>
        <w:pStyle w:val="Corpodetexto"/>
      </w:pPr>
    </w:p>
    <w:p>
      <w:pPr>
        <w:pStyle w:val="Ttulo1"/>
      </w:pPr>
      <w:bookmarkStart w:id="22" w:name="entrega-de-documentos-ao-ministerio-da-fazenda"/>
      <w:bookmarkEnd w:id="22"/>
      <w:r>
        <w:t xml:space="preserve">2. Entrega de Documentos ao Ministério da Fazenda</w:t>
      </w:r>
    </w:p>
    <w:p>
      <w:pPr>
        <w:pStyle w:val="Ttulo2"/>
      </w:pPr>
      <w:bookmarkStart w:id="23" w:name="draa"/>
      <w:bookmarkEnd w:id="23"/>
      <w:r>
        <w:t xml:space="preserve">2.1 DRAA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DtEnvio_2018 DtEnvio_2017</w:t>
      </w:r>
    </w:p>
    <w:p>
      <w:pPr>
        <w:pStyle w:val="Ttulo2"/>
      </w:pPr>
      <w:bookmarkStart w:id="24" w:name="dair"/>
      <w:bookmarkEnd w:id="24"/>
      <w:r>
        <w:t xml:space="preserve">2.2 DAIR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13/06/2018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2018-04 2018-03 2018-02 2018-01 2017-12 2017-11 2017-10 2017-09 2017-08 2017-07 2017-06 2017-05 2017-04 2017-03 2017-02 2017-01</w:t>
      </w:r>
    </w:p>
    <w:p>
      <w:pPr>
        <w:pStyle w:val="Ttulo2"/>
      </w:pPr>
      <w:bookmarkStart w:id="25" w:name="dipr"/>
      <w:bookmarkEnd w:id="25"/>
      <w:r>
        <w:t xml:space="preserve">2.3 DIPR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2016-B6 2016-B5 2016-B4 2016-B3 2016-B2 2016-B1 2015-B6 2015-B5 2015-B4 2015-B3 2015-B2 2015-B1</w:t>
      </w:r>
    </w:p>
    <w:p>
      <w:pPr>
        <w:pStyle w:val="Ttulo2"/>
      </w:pPr>
      <w:bookmarkStart w:id="26" w:name="dpin"/>
      <w:bookmarkEnd w:id="26"/>
      <w:r>
        <w:t xml:space="preserve">2.4 DPIN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23/05/2018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2018 2017</w:t>
      </w:r>
    </w:p>
    <w:p>
      <w:pPr>
        <w:pStyle w:val="Corpodetexto"/>
      </w:pPr>
    </w:p>
    <w:p>
      <w:pPr>
        <w:pStyle w:val="Ttulo1"/>
      </w:pPr>
      <w:bookmarkStart w:id="27" w:name="analise-do-dair"/>
      <w:bookmarkEnd w:id="27"/>
      <w:r>
        <w:t xml:space="preserve">3. Análise do DAIR</w:t>
      </w:r>
    </w:p>
    <w:p>
      <w:pPr>
        <w:pStyle w:val="FirstParagraph"/>
      </w:pPr>
      <w:r>
        <w:t xml:space="preserve">Entrega das Bases de Dados Solicitadas:</w:t>
      </w:r>
      <w:r>
        <w:t xml:space="preserve"> </w:t>
      </w:r>
      <w:r>
        <w:rPr>
          <w:b/>
        </w:rPr>
        <w:t xml:space="preserve">NÃO ENTREGUES</w:t>
      </w:r>
    </w:p>
    <w:p>
      <w:pPr>
        <w:pStyle w:val="Ttulo2"/>
      </w:pPr>
      <w:bookmarkStart w:id="28" w:name="enquadramento-dos-fundos-de-investimento"/>
      <w:bookmarkEnd w:id="28"/>
      <w:r>
        <w:t xml:space="preserve">3.1 Enquadramento dos Fundos de Investimento</w:t>
      </w:r>
    </w:p>
    <w:p>
      <w:pPr>
        <w:pStyle w:val="FirstParagraph"/>
      </w:pPr>
      <w:r>
        <w:t xml:space="preserve">Divergências de Enquadramento:</w:t>
      </w:r>
      <w:r>
        <w:t xml:space="preserve"> </w:t>
      </w:r>
      <w:r>
        <w:rPr>
          <w:b/>
        </w:rPr>
        <w:t xml:space="preserve">VERIFICAÇÃO IMPOSSIBILITADA POR FALTA DE ENCAMINHAMENTO DOS DADOS REQUISITADOS</w:t>
      </w:r>
    </w:p>
    <w:p>
      <w:pPr>
        <w:pStyle w:val="Ttulo2"/>
      </w:pPr>
      <w:bookmarkStart w:id="29" w:name="limites-da-resolucao-cmn-n-3.92210"/>
      <w:bookmarkEnd w:id="29"/>
      <w:r>
        <w:t xml:space="preserve">3.2 - Limites da Resolução CMN nº 3.922/10</w:t>
      </w:r>
    </w:p>
    <w:p>
      <w:pPr>
        <w:pStyle w:val="FirstParagraph"/>
      </w:pPr>
      <w:r>
        <w:t xml:space="preserve">Violação de Limites:</w:t>
      </w:r>
      <w:r>
        <w:t xml:space="preserve"> </w:t>
      </w:r>
      <w:r>
        <w:rPr>
          <w:b/>
        </w:rPr>
        <w:t xml:space="preserve">VERIFICAÇÃO IMPOSSIBILITADA POR FALTA DE ENCAMINHAMENTO DOS DADOS REQUISITADOS</w:t>
      </w:r>
    </w:p>
    <w:p>
      <w:pPr>
        <w:pStyle w:val="Ttulo2"/>
      </w:pPr>
      <w:bookmarkStart w:id="30" w:name="aplicacao-em-mais-de-25-do-pl-do-fundo-de-investimentos"/>
      <w:bookmarkEnd w:id="30"/>
      <w:r>
        <w:t xml:space="preserve">3.3 - Aplicação em mais de 25% do PL do Fundo de Investimentos</w:t>
      </w:r>
    </w:p>
    <w:p>
      <w:pPr>
        <w:pStyle w:val="FirstParagraph"/>
      </w:pPr>
      <w:r>
        <w:t xml:space="preserve">Aplicacao superior a 25% do PL do Fundo:</w:t>
      </w:r>
      <w:r>
        <w:t xml:space="preserve"> </w:t>
      </w:r>
      <w:r>
        <w:rPr>
          <w:b/>
        </w:rPr>
        <w:t xml:space="preserve">VERIFICAÇÃO IMPOSSIBILITADA POR FALTA DE ENCAMINHAMENTO DOS DADOS REQUISITADOS</w:t>
      </w:r>
    </w:p>
    <w:p>
      <w:pPr>
        <w:pStyle w:val="Corpodetexto"/>
      </w:pPr>
    </w:p>
    <w:p>
      <w:pPr>
        <w:pStyle w:val="Ttulo1"/>
      </w:pPr>
      <w:bookmarkStart w:id="31" w:name="atendimento-ao-termo-de-solicitacao-de-informacoes-ou-documentos-tsid"/>
      <w:bookmarkEnd w:id="31"/>
      <w:r>
        <w:t xml:space="preserve">4. Atendimento ao Termo de Solicitação de Informações ou Documentos (TSID)</w:t>
      </w:r>
    </w:p>
    <w:p>
      <w:pPr>
        <w:pStyle w:val="Ttulo2"/>
      </w:pPr>
      <w:bookmarkStart w:id="32" w:name="arquivos-xml-dair-janeiro-a-agosto-de-2017"/>
      <w:bookmarkEnd w:id="32"/>
      <w:r>
        <w:t xml:space="preserve">Arquivos xml DAIR (Janeiro a Agosto de 2017)</w:t>
      </w:r>
    </w:p>
    <w:p>
      <w:pPr>
        <w:pStyle w:val="FirstParagraph"/>
      </w:pPr>
      <w:r>
        <w:t xml:space="preserve">Períodos Encaminhados:</w:t>
      </w:r>
      <w:r>
        <w:t xml:space="preserve"> </w:t>
      </w:r>
      <w:r>
        <w:rPr>
          <w:b/>
        </w:rPr>
        <w:t xml:space="preserve">NÃO ENCAMINHOU NENHUM ARQUIVO DO PERÍODO SOLICITADO</w:t>
      </w:r>
    </w:p>
    <w:sectPr w:rsidR="0034054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A5FE"/>
    <w:multiLevelType w:val="multilevel"/>
    <w:tmpl w:val="AE2426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950F83"/>
    <w:multiLevelType w:val="multilevel"/>
    <w:tmpl w:val="C0287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A7CEE0B"/>
    <w:multiLevelType w:val="multilevel"/>
    <w:tmpl w:val="0C4E4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D622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07E0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5CF82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F224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27C7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169A9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696E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46127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50895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C12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FF68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bf609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774861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="Century Gothic" w:eastAsiaTheme="majorEastAsia" w:hAnsi="Century Gothic" w:cstheme="majorBidi"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D3336"/>
    <w:pPr>
      <w:keepNext/>
      <w:keepLines/>
      <w:spacing w:before="280" w:after="0"/>
      <w:outlineLvl w:val="1"/>
    </w:pPr>
    <w:rPr>
      <w:rFonts w:ascii="Century Gothic" w:eastAsiaTheme="majorEastAsia" w:hAnsi="Century Gothic" w:cstheme="majorBidi"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774861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8621C"/>
    <w:pPr>
      <w:spacing w:before="180" w:after="180"/>
    </w:pPr>
    <w:rPr>
      <w:rFonts w:ascii="Arial Narrow" w:hAnsi="Arial Narrow"/>
    </w:rPr>
  </w:style>
  <w:style w:type="paragraph" w:customStyle="1" w:styleId="FirstParagraph">
    <w:name w:val="First Paragraph"/>
    <w:basedOn w:val="Corpodetexto"/>
    <w:next w:val="Corpodetexto"/>
    <w:qFormat/>
    <w:rsid w:val="0018621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21FC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E73293"/>
    <w:rPr>
      <w:rFonts w:ascii="Consolas" w:hAnsi="Consolas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96EC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E73293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E2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E2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E21FC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E21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1F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18621C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APURAÇÃO DE INCONSISTÊNCIAS - RPPS</dc:title>
  <dc:creator/>
  <dcterms:created xsi:type="dcterms:W3CDTF">2018-09-04T00:09:07Z</dcterms:created>
  <dcterms:modified xsi:type="dcterms:W3CDTF">2018-09-04T00:09:07Z</dcterms:modified>
</cp:coreProperties>
</file>