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C87" w:rsidRPr="00B14C87" w:rsidRDefault="00B14C87" w:rsidP="00B14C87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bookmarkStart w:id="0" w:name="4.1____Características_estáticas:"/>
      <w:r w:rsidRPr="00B14C87">
        <w:rPr>
          <w:rFonts w:ascii="Arial" w:eastAsia="Times New Roman" w:hAnsi="Arial" w:cs="Arial"/>
          <w:b/>
          <w:bCs/>
          <w:shadow/>
          <w:color w:val="000000"/>
          <w:sz w:val="24"/>
          <w:szCs w:val="24"/>
          <w:lang w:val="es-MX" w:eastAsia="es-AR"/>
        </w:rPr>
        <w:t>CARACTERÍSTICAS ESTÁTICAS.</w:t>
      </w:r>
      <w:bookmarkEnd w:id="0"/>
    </w:p>
    <w:p w:rsidR="00B14C87" w:rsidRDefault="00B14C87" w:rsidP="00B14C87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Las características estáticas corresponden a la región ánodo - cátodo y son los valores máximos que colocan al elemento en límite de sus posibilidades:</w:t>
      </w:r>
    </w:p>
    <w:p w:rsidR="00B14C87" w:rsidRPr="00B14C87" w:rsidRDefault="00B14C87" w:rsidP="00B14C87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- Tensión inversa de pico de </w:t>
      </w:r>
      <w:proofErr w:type="gramStart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trabajo 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.............................................</w:t>
      </w:r>
      <w:proofErr w:type="gramEnd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 xml:space="preserve"> V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RWM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- Tensión directa de pico </w:t>
      </w:r>
      <w:proofErr w:type="gramStart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repetitiva 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..............................................</w:t>
      </w:r>
      <w:proofErr w:type="gramEnd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 xml:space="preserve"> V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DRM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- Tensión </w:t>
      </w:r>
      <w:proofErr w:type="gramStart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directa 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.............................................</w:t>
      </w:r>
      <w:proofErr w:type="gramEnd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 xml:space="preserve"> V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T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- Corriente directa </w:t>
      </w:r>
      <w:proofErr w:type="gramStart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media 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.............................................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</w:t>
      </w:r>
      <w:proofErr w:type="gramEnd"/>
      <w:r w:rsidRPr="00B14C87">
        <w:rPr>
          <w:rFonts w:ascii="Arial" w:eastAsia="Times New Roman" w:hAnsi="Arial" w:cs="Arial"/>
          <w:shadow/>
          <w:color w:val="000000"/>
          <w:sz w:val="24"/>
          <w:szCs w:val="24"/>
          <w:lang w:eastAsia="es-AR"/>
        </w:rPr>
        <w:t xml:space="preserve">: 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>I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TAV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- Corriente directa </w:t>
      </w:r>
      <w:proofErr w:type="gramStart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eficaz .................</w:t>
      </w:r>
      <w:r w:rsidRPr="00B14C87">
        <w:rPr>
          <w:rFonts w:ascii="Arial" w:eastAsia="Times New Roman" w:hAnsi="Arial" w:cs="Arial"/>
          <w:shadow/>
          <w:color w:val="000000"/>
          <w:sz w:val="24"/>
          <w:szCs w:val="24"/>
          <w:lang w:val="es-ES" w:eastAsia="es-AR"/>
        </w:rPr>
        <w:t>...............................................</w:t>
      </w:r>
      <w:proofErr w:type="gramEnd"/>
      <w:r w:rsidRPr="00B14C87">
        <w:rPr>
          <w:rFonts w:ascii="Arial" w:eastAsia="Times New Roman" w:hAnsi="Arial" w:cs="Arial"/>
          <w:shadow/>
          <w:color w:val="000000"/>
          <w:sz w:val="24"/>
          <w:szCs w:val="24"/>
          <w:lang w:eastAsia="es-AR"/>
        </w:rPr>
        <w:t xml:space="preserve">: 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>I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TRMS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- Corriente directa de </w:t>
      </w:r>
      <w:proofErr w:type="gramStart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fugas 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..............................................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</w:t>
      </w:r>
      <w:proofErr w:type="gramEnd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</w:t>
      </w:r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lang w:eastAsia="es-AR"/>
        </w:rPr>
        <w:t xml:space="preserve"> 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>I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DRM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- Corriente inversa de </w:t>
      </w:r>
      <w:proofErr w:type="gramStart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fugas 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..............................................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</w:t>
      </w:r>
      <w:proofErr w:type="gramEnd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 xml:space="preserve"> I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RRM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- Corriente de </w:t>
      </w:r>
      <w:proofErr w:type="gramStart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mantenimiento 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...............................................</w:t>
      </w:r>
      <w:proofErr w:type="gramEnd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: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 xml:space="preserve"> I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val="es-MX" w:eastAsia="es-AR"/>
        </w:rPr>
        <w:t>H</w:t>
      </w: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Las </w:t>
      </w:r>
      <w:r w:rsidRPr="00B14C87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s-AR"/>
        </w:rPr>
        <w:t xml:space="preserve">características térmicas 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a tener en cuenta al trabajar con tiristores son:</w:t>
      </w: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  <w:t xml:space="preserve">- Temperatura de la </w:t>
      </w:r>
      <w:proofErr w:type="gramStart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unión ...........................................................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..</w:t>
      </w:r>
      <w:proofErr w:type="gramEnd"/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: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proofErr w:type="spellStart"/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lang w:eastAsia="es-AR"/>
        </w:rPr>
        <w:t>T</w:t>
      </w:r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vertAlign w:val="subscript"/>
          <w:lang w:eastAsia="es-AR"/>
        </w:rPr>
        <w:t>j</w:t>
      </w:r>
      <w:proofErr w:type="spellEnd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  <w:t>- Temperatura de almacenamiento ...............................................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.: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proofErr w:type="spellStart"/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lang w:eastAsia="es-AR"/>
        </w:rPr>
        <w:t>T</w:t>
      </w:r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vertAlign w:val="subscript"/>
          <w:lang w:eastAsia="es-AR"/>
        </w:rPr>
        <w:t>stg</w:t>
      </w:r>
      <w:proofErr w:type="spellEnd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  <w:t>- Resistencia térmica contenedor-disipador 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 xml:space="preserve">.: </w:t>
      </w:r>
      <w:proofErr w:type="spellStart"/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lang w:eastAsia="es-AR"/>
        </w:rPr>
        <w:t>R</w:t>
      </w:r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vertAlign w:val="subscript"/>
          <w:lang w:eastAsia="es-AR"/>
        </w:rPr>
        <w:t>c</w:t>
      </w:r>
      <w:proofErr w:type="spellEnd"/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vertAlign w:val="subscript"/>
          <w:lang w:eastAsia="es-AR"/>
        </w:rPr>
        <w:t>-d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  <w:t>- Resistencia térmica unión-contenedor .....................................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.: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proofErr w:type="spellStart"/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lang w:eastAsia="es-AR"/>
        </w:rPr>
        <w:t>R</w:t>
      </w:r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vertAlign w:val="subscript"/>
          <w:lang w:eastAsia="es-AR"/>
        </w:rPr>
        <w:t>j</w:t>
      </w:r>
      <w:proofErr w:type="spellEnd"/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vertAlign w:val="subscript"/>
          <w:lang w:eastAsia="es-AR"/>
        </w:rPr>
        <w:t>-c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br/>
        <w:t>- Resistencia térmica unión-ambiente..........................................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:</w:t>
      </w:r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lang w:val="es-MX" w:eastAsia="es-AR"/>
        </w:rPr>
        <w:t xml:space="preserve"> </w:t>
      </w:r>
      <w:proofErr w:type="spellStart"/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lang w:eastAsia="es-AR"/>
        </w:rPr>
        <w:t>R</w:t>
      </w:r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vertAlign w:val="subscript"/>
          <w:lang w:eastAsia="es-AR"/>
        </w:rPr>
        <w:t>j</w:t>
      </w:r>
      <w:proofErr w:type="spellEnd"/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vertAlign w:val="subscript"/>
          <w:lang w:eastAsia="es-AR"/>
        </w:rPr>
        <w:t>-a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- Impedancia térmica unión-contenedor.............................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: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proofErr w:type="spellStart"/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lang w:eastAsia="es-AR"/>
        </w:rPr>
        <w:t>Z</w:t>
      </w:r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vertAlign w:val="subscript"/>
          <w:lang w:eastAsia="es-AR"/>
        </w:rPr>
        <w:t>j</w:t>
      </w:r>
      <w:proofErr w:type="spellEnd"/>
      <w:r w:rsidRPr="00B14C87">
        <w:rPr>
          <w:rFonts w:ascii="Arial" w:eastAsia="Times New Roman" w:hAnsi="Arial" w:cs="Arial"/>
          <w:b/>
          <w:bCs/>
          <w:color w:val="CC3300"/>
          <w:sz w:val="24"/>
          <w:szCs w:val="24"/>
          <w:vertAlign w:val="subscript"/>
          <w:lang w:eastAsia="es-AR"/>
        </w:rPr>
        <w:t>-c</w:t>
      </w: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AR"/>
        </w:rPr>
      </w:pPr>
      <w:bookmarkStart w:id="1" w:name="4.2____Características_de_control:"/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AR"/>
        </w:rPr>
      </w:pP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AR"/>
        </w:rPr>
      </w:pP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AR"/>
        </w:rPr>
      </w:pP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AR"/>
        </w:rPr>
      </w:pP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AR"/>
        </w:rPr>
      </w:pP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AR"/>
        </w:rPr>
      </w:pP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AR"/>
        </w:rPr>
      </w:pP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AR"/>
        </w:rPr>
        <w:lastRenderedPageBreak/>
        <w:t>CARACTERÍSTICAS DE CONTROL.</w:t>
      </w:r>
      <w:bookmarkEnd w:id="1"/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br/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Corresponden a la región puerta-cátodo y determinan las propiedades del circuito de mando que responde mejor a las condiciones de disparo. Los fabricantes definen las siguientes características: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-Tensión directa máx. ...............................................................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.: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>V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GFM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- Tensión inversa máx. ................................................................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.: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>V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GRM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- Corriente máxima......................................................................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.: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>I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GM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- Potencia </w:t>
      </w:r>
      <w:proofErr w:type="gramStart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máxima ......................................................................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</w:t>
      </w:r>
      <w:proofErr w:type="gramEnd"/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: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 xml:space="preserve"> P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GM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- Potencia </w:t>
      </w:r>
      <w:proofErr w:type="gramStart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media ..........................................................................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</w:t>
      </w:r>
      <w:r w:rsidRPr="00B14C87">
        <w:rPr>
          <w:rFonts w:ascii="Arial" w:eastAsia="Times New Roman" w:hAnsi="Arial" w:cs="Arial"/>
          <w:shadow/>
          <w:color w:val="000000"/>
          <w:sz w:val="24"/>
          <w:szCs w:val="24"/>
          <w:lang w:val="es-MX" w:eastAsia="es-AR"/>
        </w:rPr>
        <w:t>.</w:t>
      </w:r>
      <w:proofErr w:type="gramEnd"/>
      <w:r w:rsidRPr="00B14C87">
        <w:rPr>
          <w:rFonts w:ascii="Arial" w:eastAsia="Times New Roman" w:hAnsi="Arial" w:cs="Arial"/>
          <w:shadow/>
          <w:color w:val="000000"/>
          <w:sz w:val="24"/>
          <w:szCs w:val="24"/>
          <w:lang w:val="es-MX" w:eastAsia="es-AR"/>
        </w:rPr>
        <w:t>: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 xml:space="preserve"> P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GAV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- Tensión puerta-cátodo para el encendido..................................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.: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>V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GT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- Tensión residual máxima que no enciende ningún elemento......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.: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>V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GNT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- Corriente de puerta para el </w:t>
      </w:r>
      <w:proofErr w:type="gramStart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encendido .....................................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...</w:t>
      </w:r>
      <w:proofErr w:type="gramEnd"/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: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>I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GT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- Corriente residual máxima que no enciende ningún elemento...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ES" w:eastAsia="es-AR"/>
        </w:rPr>
        <w:t>......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.: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lang w:eastAsia="es-AR"/>
        </w:rPr>
        <w:t>I</w:t>
      </w:r>
      <w:r w:rsidRPr="00B14C87">
        <w:rPr>
          <w:rFonts w:ascii="Arial" w:eastAsia="Times New Roman" w:hAnsi="Arial" w:cs="Arial"/>
          <w:b/>
          <w:bCs/>
          <w:shadow/>
          <w:color w:val="CC3300"/>
          <w:sz w:val="24"/>
          <w:szCs w:val="24"/>
          <w:vertAlign w:val="subscript"/>
          <w:lang w:eastAsia="es-AR"/>
        </w:rPr>
        <w:t>GNT</w:t>
      </w: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Entre los anteriores destacan: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 xml:space="preserve">- </w:t>
      </w:r>
      <w:r w:rsidRPr="00B14C87">
        <w:rPr>
          <w:rFonts w:ascii="Arial" w:eastAsia="Times New Roman" w:hAnsi="Arial" w:cs="Arial"/>
          <w:color w:val="CC3300"/>
          <w:sz w:val="24"/>
          <w:szCs w:val="24"/>
          <w:lang w:eastAsia="es-AR"/>
        </w:rPr>
        <w:t>V</w:t>
      </w:r>
      <w:r w:rsidRPr="00B14C87">
        <w:rPr>
          <w:rFonts w:ascii="Arial" w:eastAsia="Times New Roman" w:hAnsi="Arial" w:cs="Arial"/>
          <w:color w:val="CC3300"/>
          <w:sz w:val="24"/>
          <w:szCs w:val="24"/>
          <w:vertAlign w:val="subscript"/>
          <w:lang w:eastAsia="es-AR"/>
        </w:rPr>
        <w:t>GT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e </w:t>
      </w:r>
      <w:proofErr w:type="gramStart"/>
      <w:r w:rsidRPr="00B14C87">
        <w:rPr>
          <w:rFonts w:ascii="Arial" w:eastAsia="Times New Roman" w:hAnsi="Arial" w:cs="Arial"/>
          <w:color w:val="CC3300"/>
          <w:sz w:val="24"/>
          <w:szCs w:val="24"/>
          <w:lang w:eastAsia="es-AR"/>
        </w:rPr>
        <w:t>I</w:t>
      </w:r>
      <w:r w:rsidRPr="00B14C87">
        <w:rPr>
          <w:rFonts w:ascii="Arial" w:eastAsia="Times New Roman" w:hAnsi="Arial" w:cs="Arial"/>
          <w:color w:val="CC3300"/>
          <w:sz w:val="24"/>
          <w:szCs w:val="24"/>
          <w:vertAlign w:val="subscript"/>
          <w:lang w:eastAsia="es-AR"/>
        </w:rPr>
        <w:t>GT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,</w:t>
      </w:r>
      <w:proofErr w:type="gramEnd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que determinan las condiciones de encendido del dispositivo semiconductor.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 xml:space="preserve">- </w:t>
      </w:r>
      <w:r w:rsidRPr="00B14C87">
        <w:rPr>
          <w:rFonts w:ascii="Arial" w:eastAsia="Times New Roman" w:hAnsi="Arial" w:cs="Arial"/>
          <w:color w:val="CC3300"/>
          <w:sz w:val="24"/>
          <w:szCs w:val="24"/>
          <w:lang w:eastAsia="es-AR"/>
        </w:rPr>
        <w:t>V</w:t>
      </w:r>
      <w:r w:rsidRPr="00B14C87">
        <w:rPr>
          <w:rFonts w:ascii="Arial" w:eastAsia="Times New Roman" w:hAnsi="Arial" w:cs="Arial"/>
          <w:color w:val="CC3300"/>
          <w:sz w:val="24"/>
          <w:szCs w:val="24"/>
          <w:vertAlign w:val="subscript"/>
          <w:lang w:eastAsia="es-AR"/>
        </w:rPr>
        <w:t>GNT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e </w:t>
      </w:r>
      <w:r w:rsidRPr="00B14C87">
        <w:rPr>
          <w:rFonts w:ascii="Arial" w:eastAsia="Times New Roman" w:hAnsi="Arial" w:cs="Arial"/>
          <w:color w:val="CC3300"/>
          <w:sz w:val="24"/>
          <w:szCs w:val="24"/>
          <w:lang w:eastAsia="es-AR"/>
        </w:rPr>
        <w:t>I</w:t>
      </w:r>
      <w:r w:rsidRPr="00B14C87">
        <w:rPr>
          <w:rFonts w:ascii="Arial" w:eastAsia="Times New Roman" w:hAnsi="Arial" w:cs="Arial"/>
          <w:color w:val="CC3300"/>
          <w:sz w:val="24"/>
          <w:szCs w:val="24"/>
          <w:vertAlign w:val="subscript"/>
          <w:lang w:eastAsia="es-AR"/>
        </w:rPr>
        <w:t>GNT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, que dan los valores máximos de corriente y de tensión, para los cuales en condiciones normales de temperatura, los tiristores no corren el riesgo de dispararse de modo indeseado. </w:t>
      </w: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br/>
      </w:r>
      <w:r w:rsidRPr="00B14C87">
        <w:rPr>
          <w:rFonts w:ascii="Arial" w:eastAsia="Times New Roman" w:hAnsi="Arial" w:cs="Arial"/>
          <w:b/>
          <w:bCs/>
          <w:color w:val="000000"/>
          <w:sz w:val="24"/>
          <w:szCs w:val="24"/>
          <w:lang w:val="es-MX" w:eastAsia="es-AR"/>
        </w:rPr>
        <w:t>Área de disparo seguro.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En esta área 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 xml:space="preserve">(Figura 3) 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se obtienen las condiciones de disparo del SCR. Las tensiones y corrientes admisibles para el disparo se encuentran en el interior de la zona formada por las curvas: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•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 xml:space="preserve"> 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Curva A y B: límite superior e inferior de la tensión puerta-cátodo en función de la corriente positiva de puerta, para una corriente nula de ánodo.</w:t>
      </w: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•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 xml:space="preserve"> 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Curva C: tensión directa de pico admisible V</w:t>
      </w:r>
      <w:r w:rsidRPr="00B14C87">
        <w:rPr>
          <w:rFonts w:ascii="Arial" w:eastAsia="Times New Roman" w:hAnsi="Arial" w:cs="Arial"/>
          <w:color w:val="000000"/>
          <w:sz w:val="24"/>
          <w:szCs w:val="24"/>
          <w:vertAlign w:val="subscript"/>
          <w:lang w:eastAsia="es-AR"/>
        </w:rPr>
        <w:t>GF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.</w:t>
      </w: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lastRenderedPageBreak/>
        <w:t>•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 xml:space="preserve"> 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Curva D: hipérbola de la potencia media máxima P</w:t>
      </w:r>
      <w:r w:rsidRPr="00B14C87">
        <w:rPr>
          <w:rFonts w:ascii="Arial" w:eastAsia="Times New Roman" w:hAnsi="Arial" w:cs="Arial"/>
          <w:color w:val="000000"/>
          <w:sz w:val="24"/>
          <w:szCs w:val="24"/>
          <w:vertAlign w:val="subscript"/>
          <w:lang w:eastAsia="es-AR"/>
        </w:rPr>
        <w:t>GAV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que no debemos sobrepasar.</w:t>
      </w:r>
    </w:p>
    <w:p w:rsid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:rsidR="00B14C87" w:rsidRPr="00B14C87" w:rsidRDefault="00B14C87" w:rsidP="00B14C87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</w:p>
    <w:p w:rsidR="00B14C87" w:rsidRPr="00B14C87" w:rsidRDefault="00B14C87" w:rsidP="00B14C87">
      <w:pPr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r w:rsidRPr="00B14C87">
        <w:rPr>
          <w:rFonts w:ascii="Arial" w:eastAsia="Times New Roman" w:hAnsi="Arial" w:cs="Arial"/>
          <w:noProof/>
          <w:color w:val="000000"/>
          <w:sz w:val="24"/>
          <w:szCs w:val="24"/>
          <w:lang w:eastAsia="es-AR"/>
        </w:rPr>
        <w:drawing>
          <wp:inline distT="0" distB="0" distL="0" distR="0">
            <wp:extent cx="4809490" cy="4215765"/>
            <wp:effectExtent l="19050" t="0" r="0" b="0"/>
            <wp:docPr id="1" name="Imagen 1" descr="http://www.inele.ufro.cl/bmonteci/semic/applets/pag_scr/pag_scr_archivos/AREA%20DE%20DISPARO%20SEGU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nele.ufro.cl/bmonteci/semic/applets/pag_scr/pag_scr_archivos/AREA%20DE%20DISPARO%20SEGUR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490" cy="4215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C87" w:rsidRPr="00B14C87" w:rsidRDefault="00B14C87" w:rsidP="00B14C87">
      <w:pPr>
        <w:spacing w:after="0" w:line="360" w:lineRule="auto"/>
        <w:ind w:firstLine="708"/>
        <w:rPr>
          <w:rFonts w:ascii="Arial" w:eastAsia="Times New Roman" w:hAnsi="Arial" w:cs="Arial"/>
          <w:color w:val="000000"/>
          <w:sz w:val="24"/>
          <w:szCs w:val="24"/>
          <w:lang w:eastAsia="es-AR"/>
        </w:rPr>
      </w:pPr>
      <w:proofErr w:type="spellStart"/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Fig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>ura</w:t>
      </w:r>
      <w:proofErr w:type="spellEnd"/>
      <w:r w:rsidRPr="00B14C87">
        <w:rPr>
          <w:rFonts w:ascii="Arial" w:eastAsia="Times New Roman" w:hAnsi="Arial" w:cs="Arial"/>
          <w:color w:val="000000"/>
          <w:sz w:val="24"/>
          <w:szCs w:val="24"/>
          <w:lang w:val="es-MX" w:eastAsia="es-AR"/>
        </w:rPr>
        <w:t xml:space="preserve"> 3.</w:t>
      </w:r>
      <w:r w:rsidRPr="00B14C87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Curva características de puerta del tiristor.</w:t>
      </w:r>
    </w:p>
    <w:p w:rsidR="003F2974" w:rsidRPr="00B14C87" w:rsidRDefault="003F2974" w:rsidP="00B14C87">
      <w:pPr>
        <w:spacing w:line="360" w:lineRule="auto"/>
        <w:rPr>
          <w:rFonts w:ascii="Arial" w:hAnsi="Arial" w:cs="Arial"/>
        </w:rPr>
      </w:pPr>
    </w:p>
    <w:sectPr w:rsidR="003F2974" w:rsidRPr="00B14C87" w:rsidSect="003F29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B14C87"/>
    <w:rsid w:val="000C1821"/>
    <w:rsid w:val="00206397"/>
    <w:rsid w:val="0022150C"/>
    <w:rsid w:val="00356CA4"/>
    <w:rsid w:val="003F2974"/>
    <w:rsid w:val="004765F0"/>
    <w:rsid w:val="0069164E"/>
    <w:rsid w:val="00886270"/>
    <w:rsid w:val="00944618"/>
    <w:rsid w:val="009B0212"/>
    <w:rsid w:val="009E4D06"/>
    <w:rsid w:val="00A1641B"/>
    <w:rsid w:val="00B14C87"/>
    <w:rsid w:val="00F24394"/>
    <w:rsid w:val="00F26BFB"/>
    <w:rsid w:val="00F276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9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14C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C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97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537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ALBERTO CELDRAN</dc:creator>
  <cp:lastModifiedBy>CARLOS ALBERTO CELDRAN</cp:lastModifiedBy>
  <cp:revision>2</cp:revision>
  <dcterms:created xsi:type="dcterms:W3CDTF">2012-08-23T22:54:00Z</dcterms:created>
  <dcterms:modified xsi:type="dcterms:W3CDTF">2012-08-23T22:54:00Z</dcterms:modified>
</cp:coreProperties>
</file>