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r>
        <w:t>BEM(NS)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rsidP="00BE19B1">
      <w:pPr>
        <w:spacing w:after="100" w:afterAutospacing="1" w:line="266" w:lineRule="auto"/>
        <w:ind w:left="-17" w:right="51" w:firstLine="0"/>
      </w:pPr>
      <w:r>
        <w:t xml:space="preserve">De um lado, na qualidade de outorgante(s) </w:t>
      </w:r>
      <w:r>
        <w:rPr>
          <w:b/>
        </w:rPr>
        <w:t>FIDUCIANTE</w:t>
      </w:r>
      <w:r>
        <w:t xml:space="preserve">(s), </w:t>
      </w:r>
    </w:p>
    <w:p w14:paraId="428116E4" w14:textId="0218934D" w:rsidR="004A5FA4" w:rsidRDefault="4297CA1A" w:rsidP="00BE19B1">
      <w:pPr>
        <w:numPr>
          <w:ilvl w:val="0"/>
          <w:numId w:val="1"/>
        </w:numPr>
        <w:spacing w:after="352" w:line="264" w:lineRule="auto"/>
        <w:ind w:left="0" w:right="23" w:firstLine="0"/>
        <w:rPr>
          <w:rFonts w:asciiTheme="minorHAnsi" w:eastAsiaTheme="minorEastAsia" w:hAnsiTheme="minorHAnsi" w:cstheme="minorBidi"/>
          <w:color w:val="000000" w:themeColor="text1"/>
        </w:rPr>
      </w:pPr>
      <w:r w:rsidRPr="4297CA1A">
        <w:rPr>
          <w:color w:val="000000" w:themeColor="text1"/>
        </w:rPr>
        <w:t>criaTerceiroG criaFiduciante criaAvalista</w:t>
      </w:r>
    </w:p>
    <w:p w14:paraId="6D57F2C8" w14:textId="77777777" w:rsidR="004A5FA4" w:rsidRDefault="000C1708">
      <w:pPr>
        <w:spacing w:after="355"/>
        <w:ind w:left="-5" w:right="49"/>
      </w:pPr>
      <w:r>
        <w:t xml:space="preserve">De outro lado, na qualidade de outorgada fiduciária, </w:t>
      </w:r>
    </w:p>
    <w:p w14:paraId="7AE2200C" w14:textId="77777777"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MONEY PLUS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r w:rsidRPr="4297CA1A">
        <w:rPr>
          <w:b/>
          <w:bCs/>
        </w:rPr>
        <w:t>FIDUCIANTE(S),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r w:rsidRPr="4297CA1A">
        <w:rPr>
          <w:color w:val="000000" w:themeColor="text1"/>
        </w:rPr>
        <w:t xml:space="preserve">criaInterveniente </w:t>
      </w:r>
      <w:r w:rsidRPr="4297CA1A">
        <w:rPr>
          <w:b/>
          <w:bCs/>
        </w:rPr>
        <w:t>criaDevedor</w:t>
      </w:r>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4F14A869" w:rsidR="004A5FA4" w:rsidRDefault="4297CA1A">
      <w:pPr>
        <w:numPr>
          <w:ilvl w:val="1"/>
          <w:numId w:val="1"/>
        </w:numPr>
        <w:spacing w:after="366"/>
        <w:ind w:right="49" w:hanging="369"/>
      </w:pPr>
      <w:r>
        <w:t xml:space="preserve">Em </w:t>
      </w:r>
      <w:r w:rsidRPr="4297CA1A">
        <w:rPr>
          <w:b/>
          <w:bCs/>
          <w:color w:val="000000" w:themeColor="text1"/>
        </w:rPr>
        <w:t>dataDeEmissao</w:t>
      </w:r>
      <w:r w:rsidRPr="4297CA1A">
        <w:rPr>
          <w:b/>
          <w:bCs/>
        </w:rPr>
        <w:t xml:space="preserve"> </w:t>
      </w:r>
      <w:r>
        <w:t xml:space="preserve">o </w:t>
      </w:r>
      <w:r w:rsidRPr="4297CA1A">
        <w:rPr>
          <w:b/>
          <w:bCs/>
        </w:rPr>
        <w:t xml:space="preserve">FIDUCIANTE </w:t>
      </w:r>
      <w:r w:rsidRPr="4297CA1A">
        <w:rPr>
          <w:b/>
          <w:bCs/>
          <w:color w:val="000000" w:themeColor="text1"/>
        </w:rPr>
        <w:t>nomeEmitente</w:t>
      </w:r>
      <w:r w:rsidRPr="4297CA1A">
        <w:rPr>
          <w:b/>
          <w:bCs/>
        </w:rPr>
        <w:t xml:space="preserve"> </w:t>
      </w:r>
      <w:r>
        <w:t xml:space="preserve">emitiu a(s)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1DC790EB" w:rsidR="004A5FA4" w:rsidRDefault="4297CA1A" w:rsidP="5840DD94">
      <w:pPr>
        <w:numPr>
          <w:ilvl w:val="1"/>
          <w:numId w:val="1"/>
        </w:numPr>
        <w:spacing w:after="321"/>
        <w:ind w:right="49" w:hanging="369"/>
      </w:pPr>
      <w:r>
        <w:t xml:space="preserve">As obrigações, pecuniárias ou não, previstas na(s) CCB(s) são garantidas pela alienação fiduciária de Imóvel(eis) descrito abaixo bem como registrado(s) perante o </w:t>
      </w:r>
      <w:r w:rsidRPr="4297CA1A">
        <w:rPr>
          <w:color w:val="000000" w:themeColor="text1"/>
        </w:rPr>
        <w:t>cartorioImovel</w:t>
      </w:r>
      <w:r>
        <w:t xml:space="preserve"> Cartório de Registro de Imóveis da Comarca de cidadeImovel – ufImovel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A presente garantia de Alienação Fiduciária é celebrada sem prejuízo das outras garantias constituídas ou que venham a ser constituídas em favor da(s) CCB(s);</w:t>
      </w:r>
    </w:p>
    <w:p w14:paraId="1B4C7C8D" w14:textId="77777777" w:rsidR="004A5FA4" w:rsidRDefault="4297CA1A">
      <w:pPr>
        <w:numPr>
          <w:ilvl w:val="1"/>
          <w:numId w:val="1"/>
        </w:numPr>
        <w:spacing w:after="353"/>
        <w:ind w:right="49" w:hanging="369"/>
      </w:pPr>
      <w:r>
        <w:t xml:space="preserve">As Partes dispuseram de tempo e condições adequadas para a avaliação e discussão de todas as cláusulas desta Alienação Fiduciária (abaixo definido), cuja celebração, </w:t>
      </w:r>
      <w:r>
        <w:lastRenderedPageBreak/>
        <w:t>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62E9E422"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pela(s)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r w:rsidRPr="4297CA1A">
        <w:rPr>
          <w:b/>
          <w:bCs/>
          <w:i/>
          <w:iCs/>
          <w:color w:val="000000" w:themeColor="text1"/>
        </w:rPr>
        <w:t>ImagemImovel</w:t>
      </w:r>
      <w:r w:rsidRPr="4297CA1A">
        <w:t xml:space="preserve"> </w:t>
      </w:r>
      <w:r>
        <w:t xml:space="preserve">, </w:t>
      </w:r>
      <w:r w:rsidR="00BE19B1" w:rsidRPr="4AECF8AB">
        <w:rPr>
          <w:rFonts w:asciiTheme="minorHAnsi" w:hAnsiTheme="minorHAnsi" w:cstheme="minorBidi"/>
          <w:sz w:val="22"/>
          <w:szCs w:val="22"/>
        </w:rPr>
        <w:t>objeto da matrícula nº numeroImovel (“Bem Imóvel” ou “Imóvel”), registrada perante o cartorioImovel Cartório de Registro de Imóveis da Comarca de cidadeImovel – ufImovel  (</w:t>
      </w:r>
      <w:r w:rsidR="00BE19B1" w:rsidRPr="4297CA1A">
        <w:rPr>
          <w:i/>
          <w:iCs/>
        </w:rPr>
        <w:t xml:space="preserve"> </w:t>
      </w:r>
      <w:r w:rsidRPr="4297CA1A">
        <w:rPr>
          <w:i/>
          <w:iCs/>
        </w:rPr>
        <w:t xml:space="preserve">“RGI” </w:t>
      </w:r>
      <w:r>
        <w:t xml:space="preserve">(“Bem(ns)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737780">
      <w:pPr>
        <w:pStyle w:val="PargrafodaLista"/>
        <w:spacing w:after="0" w:line="240"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 xml:space="preserve">Se solteiro(a), viúvo(a), divorciado(a) </w:t>
      </w:r>
      <w:bookmarkStart w:id="0" w:name="_GoBack"/>
      <w:bookmarkEnd w:id="0"/>
      <w:r w:rsidR="00A24D45" w:rsidRPr="009E48C0">
        <w:t>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r w:rsidR="00C74052" w:rsidRPr="00674495">
        <w:rPr>
          <w:bCs/>
        </w:rPr>
        <w:t>O</w:t>
      </w:r>
      <w:r w:rsidRPr="009E48C0">
        <w:t>(</w:t>
      </w:r>
      <w:r w:rsidR="00C74052" w:rsidRPr="009E48C0">
        <w:t xml:space="preserve">s) FIDUCIANTE(S), </w:t>
      </w:r>
      <w:r w:rsidRPr="009E48C0">
        <w:t>declara(m), sob as penas da lei, que não está(ão) vinculado(s) como empregador(es)</w:t>
      </w:r>
      <w:r w:rsidR="009E48C0">
        <w:t xml:space="preserve"> </w:t>
      </w:r>
      <w:r w:rsidRPr="009E48C0">
        <w:t>ao INSS - Instituto Nacional do Seguro Social, bem como não ser(em) produtor(es) rural(is), não estando, assim, incurso(s) nas restrições da legislação pertinente</w:t>
      </w:r>
      <w:r w:rsidR="00AF2709" w:rsidRPr="009E48C0">
        <w:t>, dispensando a apresentação de Certidão Negativa de Débitos – CND</w:t>
      </w:r>
      <w:r w:rsidRPr="009E48C0">
        <w:t>. Todavia, na hipótese de ser(em)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deverá(ão)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43F4D9FF" w14:textId="082ADC1C" w:rsidR="00066C34" w:rsidRDefault="5840DD94" w:rsidP="00066C34">
      <w:pPr>
        <w:numPr>
          <w:ilvl w:val="0"/>
          <w:numId w:val="2"/>
        </w:numPr>
        <w:spacing w:after="5" w:line="250" w:lineRule="auto"/>
        <w:ind w:left="1065"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valorCredito (ExtensoValorCredito);</w:t>
      </w:r>
    </w:p>
    <w:p w14:paraId="32DB318E" w14:textId="1BE0109D" w:rsidR="00066C34" w:rsidRDefault="5840DD94" w:rsidP="00066C3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r w:rsidRPr="5840DD94">
        <w:rPr>
          <w:i/>
          <w:iCs/>
        </w:rPr>
        <w:t>numeroParcelasPagamento (ExtensoNumeroParcelasPagamento) parcelas, sendo a 1ª. parcela com vencimento em vencimentoPrimeiraParcelaPagamento e a última parcela com vencimento em vencimentoUltimaParcelaPagamento, totalizando o montante de montantePagamento (ExtensoMontantePagamento);</w:t>
      </w:r>
    </w:p>
    <w:p w14:paraId="532A4791" w14:textId="51025570" w:rsidR="00066C34" w:rsidRPr="00066C34" w:rsidRDefault="00066C34" w:rsidP="00066C34">
      <w:pPr>
        <w:numPr>
          <w:ilvl w:val="0"/>
          <w:numId w:val="2"/>
        </w:numPr>
        <w:spacing w:after="5" w:line="250" w:lineRule="auto"/>
        <w:ind w:left="1065" w:hanging="720"/>
      </w:pPr>
      <w:r w:rsidRPr="5840DD94">
        <w:rPr>
          <w:b/>
          <w:bCs/>
          <w:i/>
          <w:iCs/>
          <w:u w:val="single"/>
        </w:rPr>
        <w:t>Encargos Financeiros:</w:t>
      </w:r>
    </w:p>
    <w:p w14:paraId="1DB2F1B8" w14:textId="77777777" w:rsidR="00066C34" w:rsidRDefault="00066C34" w:rsidP="00066C34">
      <w:pPr>
        <w:spacing w:after="0" w:line="250" w:lineRule="auto"/>
        <w:ind w:left="1077" w:firstLine="0"/>
        <w:rPr>
          <w:i/>
        </w:rPr>
      </w:pPr>
      <w:r>
        <w:rPr>
          <w:i/>
        </w:rPr>
        <w:t xml:space="preserve">(X) </w:t>
      </w:r>
      <w:r w:rsidRPr="00D85AE5">
        <w:rPr>
          <w:b/>
          <w:bCs/>
          <w:i/>
        </w:rPr>
        <w:t>Pré-fixado</w:t>
      </w:r>
      <w:r>
        <w:rPr>
          <w:i/>
        </w:rPr>
        <w:t>, calculado com base no ano de 365 dias;</w:t>
      </w:r>
    </w:p>
    <w:p w14:paraId="3DE21C94" w14:textId="266F3ED9" w:rsidR="00276A6C" w:rsidRPr="00066C34" w:rsidRDefault="00066C34" w:rsidP="00276A6C">
      <w:pPr>
        <w:spacing w:after="5" w:line="250" w:lineRule="auto"/>
        <w:ind w:left="1065" w:firstLine="0"/>
        <w:rPr>
          <w:i/>
        </w:rPr>
      </w:pPr>
      <w:r>
        <w:rPr>
          <w:i/>
        </w:rPr>
        <w:t xml:space="preserve">(X) </w:t>
      </w:r>
      <w:r w:rsidRPr="00D85AE5">
        <w:rPr>
          <w:b/>
          <w:bCs/>
          <w:i/>
        </w:rPr>
        <w:t>Pós-fixado</w:t>
      </w:r>
      <w:r>
        <w:rPr>
          <w:i/>
        </w:rPr>
        <w:t>: atualização dos valores pela variação mensal do Índice Nacional de Preços ao Consumidor Amplo – IPCA/IBGE, apurado a partir da data de emissã</w:t>
      </w:r>
      <w:r w:rsidR="00276A6C">
        <w:rPr>
          <w:i/>
        </w:rPr>
        <w:t>o até a efetiva quitação da CCB;</w:t>
      </w:r>
    </w:p>
    <w:p w14:paraId="04CD6CDA" w14:textId="6E59C3E1" w:rsidR="004A5FA4" w:rsidRDefault="000C1708" w:rsidP="00276A6C">
      <w:pPr>
        <w:pStyle w:val="PargrafodaLista"/>
        <w:numPr>
          <w:ilvl w:val="0"/>
          <w:numId w:val="25"/>
        </w:numPr>
        <w:spacing w:after="8" w:line="250" w:lineRule="auto"/>
        <w:jc w:val="left"/>
      </w:pPr>
      <w:r w:rsidRPr="00276A6C">
        <w:rPr>
          <w:b/>
          <w:i/>
          <w:u w:val="single" w:color="000000"/>
        </w:rPr>
        <w:t>Taxa de Juros Efetiva</w:t>
      </w:r>
      <w:r w:rsidRPr="00276A6C">
        <w:rPr>
          <w:b/>
          <w:i/>
        </w:rPr>
        <w:t xml:space="preserve">: </w:t>
      </w:r>
    </w:p>
    <w:p w14:paraId="6E3AFCA8" w14:textId="67FBB03D" w:rsidR="00276A6C"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r w:rsidR="5840DD94" w:rsidRPr="5840DD94">
        <w:rPr>
          <w:i/>
          <w:iCs/>
        </w:rPr>
        <w:t>taxaDeJurosMes%</w:t>
      </w:r>
      <w:r>
        <w:tab/>
      </w:r>
      <w:r w:rsidR="5840DD94" w:rsidRPr="5840DD94">
        <w:rPr>
          <w:i/>
          <w:iCs/>
        </w:rPr>
        <w:t xml:space="preserve"> </w:t>
      </w:r>
      <w:r w:rsidR="5840DD94" w:rsidRPr="5840DD94">
        <w:rPr>
          <w:b/>
          <w:bCs/>
          <w:i/>
          <w:iCs/>
        </w:rPr>
        <w:t xml:space="preserve"> Ano: </w:t>
      </w:r>
      <w:r w:rsidR="5840DD94" w:rsidRPr="5840DD94">
        <w:rPr>
          <w:i/>
          <w:iCs/>
        </w:rPr>
        <w:t>taxaDeJurosAno%</w:t>
      </w:r>
    </w:p>
    <w:p w14:paraId="3B13EDB5" w14:textId="77777777" w:rsidR="004A5FA4" w:rsidRDefault="000C1708" w:rsidP="00276A6C">
      <w:pPr>
        <w:numPr>
          <w:ilvl w:val="0"/>
          <w:numId w:val="25"/>
        </w:numPr>
        <w:spacing w:after="0" w:line="259" w:lineRule="auto"/>
        <w:jc w:val="left"/>
      </w:pPr>
      <w:r>
        <w:rPr>
          <w:b/>
          <w:i/>
          <w:u w:val="single" w:color="000000"/>
        </w:rPr>
        <w:t>Custo Efetivo Total (“CET”)</w:t>
      </w:r>
      <w:r>
        <w:rPr>
          <w:b/>
          <w:i/>
        </w:rPr>
        <w:t xml:space="preserve"> </w:t>
      </w:r>
    </w:p>
    <w:p w14:paraId="6E8A80AA" w14:textId="5276EBB9" w:rsidR="00066C34" w:rsidRPr="00066C34" w:rsidRDefault="000C1708">
      <w:pPr>
        <w:tabs>
          <w:tab w:val="center" w:pos="1324"/>
          <w:tab w:val="center" w:pos="2451"/>
          <w:tab w:val="center" w:pos="4128"/>
        </w:tabs>
        <w:spacing w:after="0" w:line="259" w:lineRule="auto"/>
        <w:ind w:left="0" w:firstLine="0"/>
        <w:jc w:val="left"/>
        <w:rPr>
          <w:i/>
          <w:iCs/>
          <w:sz w:val="22"/>
          <w:szCs w:val="22"/>
        </w:rPr>
      </w:pPr>
      <w:r>
        <w:rPr>
          <w:sz w:val="22"/>
        </w:rPr>
        <w:tab/>
      </w:r>
      <w:r w:rsidRPr="15735DFA">
        <w:rPr>
          <w:b/>
          <w:bCs/>
          <w:i/>
          <w:iCs/>
        </w:rPr>
        <w:t xml:space="preserve">Mês:    </w:t>
      </w:r>
      <w:r w:rsidRPr="15735DFA">
        <w:rPr>
          <w:i/>
          <w:iCs/>
        </w:rPr>
        <w:t xml:space="preserve"> </w:t>
      </w:r>
      <w:r>
        <w:rPr>
          <w:i/>
        </w:rPr>
        <w:tab/>
      </w:r>
      <w:r w:rsidRPr="15735DFA">
        <w:rPr>
          <w:i/>
          <w:iCs/>
        </w:rPr>
        <w:t xml:space="preserve"> </w:t>
      </w:r>
      <w:r w:rsidRPr="15735DFA">
        <w:rPr>
          <w:i/>
          <w:iCs/>
          <w:sz w:val="22"/>
          <w:szCs w:val="22"/>
        </w:rPr>
        <w:t xml:space="preserve"> </w:t>
      </w:r>
      <w:r w:rsidR="5840DD94" w:rsidRPr="15735DFA">
        <w:rPr>
          <w:i/>
          <w:iCs/>
          <w:sz w:val="22"/>
          <w:szCs w:val="22"/>
        </w:rPr>
        <w:t>cetMes%</w:t>
      </w:r>
      <w:r>
        <w:tab/>
      </w:r>
      <w:r w:rsidR="5840DD94" w:rsidRPr="15735DFA">
        <w:rPr>
          <w:i/>
          <w:iCs/>
          <w:sz w:val="22"/>
          <w:szCs w:val="22"/>
        </w:rPr>
        <w:t xml:space="preserve"> </w:t>
      </w:r>
      <w:r w:rsidR="5840DD94" w:rsidRPr="15735DFA">
        <w:rPr>
          <w:b/>
          <w:bCs/>
          <w:i/>
          <w:iCs/>
          <w:sz w:val="22"/>
          <w:szCs w:val="22"/>
        </w:rPr>
        <w:t>Ano:</w:t>
      </w:r>
      <w:r w:rsidR="5840DD94" w:rsidRPr="15735DFA">
        <w:rPr>
          <w:i/>
          <w:iCs/>
          <w:sz w:val="22"/>
          <w:szCs w:val="22"/>
        </w:rPr>
        <w:t xml:space="preserve"> cetAno%</w:t>
      </w:r>
    </w:p>
    <w:p w14:paraId="373DFCB0" w14:textId="57D4D521" w:rsidR="00066C34" w:rsidRDefault="15735DFA" w:rsidP="00276A6C">
      <w:pPr>
        <w:numPr>
          <w:ilvl w:val="0"/>
          <w:numId w:val="25"/>
        </w:numPr>
        <w:spacing w:after="0" w:line="259" w:lineRule="auto"/>
        <w:jc w:val="left"/>
      </w:pPr>
      <w:r w:rsidRPr="15735DFA">
        <w:rPr>
          <w:b/>
          <w:bCs/>
          <w:i/>
          <w:iCs/>
        </w:rPr>
        <w:t>Data de Emissão:</w:t>
      </w:r>
      <w:r w:rsidRPr="15735DFA">
        <w:rPr>
          <w:i/>
          <w:iCs/>
        </w:rPr>
        <w:t xml:space="preserve"> </w:t>
      </w:r>
      <w:r w:rsidRPr="15735DFA">
        <w:rPr>
          <w:i/>
          <w:iCs/>
          <w:color w:val="auto"/>
        </w:rPr>
        <w:t xml:space="preserve">dataDeEmissao </w:t>
      </w:r>
      <w:r w:rsidRPr="15735DFA">
        <w:rPr>
          <w:i/>
          <w:iCs/>
        </w:rPr>
        <w:t>;</w:t>
      </w:r>
    </w:p>
    <w:p w14:paraId="32F15193" w14:textId="0FA95A40" w:rsidR="5840DD94" w:rsidRDefault="5840DD94" w:rsidP="00276A6C">
      <w:pPr>
        <w:numPr>
          <w:ilvl w:val="0"/>
          <w:numId w:val="25"/>
        </w:numPr>
        <w:spacing w:after="0" w:line="259" w:lineRule="auto"/>
        <w:jc w:val="left"/>
      </w:pPr>
      <w:r w:rsidRPr="5840DD94">
        <w:rPr>
          <w:b/>
          <w:bCs/>
          <w:i/>
          <w:iCs/>
        </w:rPr>
        <w:t xml:space="preserve">Data de Vencimento:  </w:t>
      </w:r>
      <w:r w:rsidRPr="5840DD94">
        <w:rPr>
          <w:i/>
          <w:iCs/>
        </w:rPr>
        <w:t>vencimentoUltimaParcelaPagamento</w:t>
      </w:r>
      <w:r w:rsidRPr="5840DD94">
        <w:rPr>
          <w:b/>
          <w:bCs/>
          <w:i/>
          <w:iCs/>
        </w:rPr>
        <w:t>.</w:t>
      </w:r>
    </w:p>
    <w:p w14:paraId="44ABDE4C" w14:textId="77777777" w:rsidR="004A5FA4" w:rsidRDefault="000C1708" w:rsidP="00276A6C">
      <w:pPr>
        <w:numPr>
          <w:ilvl w:val="0"/>
          <w:numId w:val="25"/>
        </w:numPr>
        <w:spacing w:after="8" w:line="250" w:lineRule="auto"/>
        <w:jc w:val="left"/>
      </w:pPr>
      <w:r>
        <w:rPr>
          <w:b/>
          <w:i/>
          <w:u w:val="single" w:color="000000"/>
        </w:rPr>
        <w:t>Clausula de Constituição da Propriedade Fiduciária</w:t>
      </w:r>
      <w:r>
        <w:rPr>
          <w:i/>
        </w:rPr>
        <w:t xml:space="preserve">: vide clausula 1.1 deste instrumento; </w:t>
      </w:r>
    </w:p>
    <w:p w14:paraId="107BF5A9" w14:textId="77777777" w:rsidR="004A5FA4" w:rsidRDefault="000C1708" w:rsidP="00276A6C">
      <w:pPr>
        <w:numPr>
          <w:ilvl w:val="0"/>
          <w:numId w:val="25"/>
        </w:numPr>
        <w:spacing w:after="8" w:line="250" w:lineRule="auto"/>
        <w:jc w:val="left"/>
      </w:pPr>
      <w:r>
        <w:rPr>
          <w:b/>
          <w:i/>
          <w:u w:val="single" w:color="000000"/>
        </w:rPr>
        <w:t>Clausula assegurando o Fiduciante – enquanto adimplente - ao uso do Bem(ns) Imóvel(eis)</w:t>
      </w:r>
      <w:r>
        <w:rPr>
          <w:b/>
          <w:i/>
        </w:rPr>
        <w:t>:</w:t>
      </w:r>
      <w:r>
        <w:rPr>
          <w:i/>
        </w:rPr>
        <w:t xml:space="preserve">  vide clausula 3.9. deste instrumento;</w:t>
      </w:r>
    </w:p>
    <w:p w14:paraId="7E8C0505" w14:textId="77777777" w:rsidR="004A5FA4" w:rsidRDefault="000C1708" w:rsidP="00276A6C">
      <w:pPr>
        <w:numPr>
          <w:ilvl w:val="0"/>
          <w:numId w:val="25"/>
        </w:numPr>
        <w:spacing w:after="8" w:line="250" w:lineRule="auto"/>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276A6C">
      <w:pPr>
        <w:numPr>
          <w:ilvl w:val="0"/>
          <w:numId w:val="25"/>
        </w:numPr>
        <w:spacing w:after="8" w:line="250" w:lineRule="auto"/>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Imóvel(eis)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r>
        <w:t xml:space="preserve">O(s) FIDUCIANTE(S) titular(es) do(s) Imóvel(eis) também declaram que o(s) Bem(ns)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do(s)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Quando se tratar de pessoa jurídica, a intimação será feita ao(s) representantes ou a procuradores regularmente constituídos pelo(s) FIDUCIANTE(S);</w:t>
      </w:r>
    </w:p>
    <w:p w14:paraId="385FF240" w14:textId="77777777" w:rsidR="004A5FA4" w:rsidRDefault="000C1708">
      <w:pPr>
        <w:numPr>
          <w:ilvl w:val="0"/>
          <w:numId w:val="5"/>
        </w:numPr>
        <w:spacing w:after="321"/>
        <w:ind w:right="49" w:hanging="360"/>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r>
        <w:t>O(s) FIDUCIANTE(s) pode(rão),</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do(s)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00BE19B1">
      <w:pPr>
        <w:spacing w:after="131" w:line="269" w:lineRule="auto"/>
        <w:ind w:left="-5" w:right="41"/>
        <w:jc w:val="left"/>
      </w:pPr>
      <w:r>
        <w:t>fiducianteTerceiroG fiducianteAvalista fiducianteEmitente fiducianteInterveniente</w:t>
      </w:r>
      <w:r w:rsidRPr="007D32FB">
        <w:t xml:space="preserve"> devedorEmitente</w:t>
      </w:r>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77777777" w:rsidR="004A5FA4" w:rsidRDefault="15735DFA" w:rsidP="15735DFA">
      <w:pPr>
        <w:spacing w:after="20" w:line="480" w:lineRule="auto"/>
        <w:ind w:left="-5"/>
        <w:jc w:val="left"/>
      </w:pPr>
      <w:r w:rsidRPr="15735DFA">
        <w:rPr>
          <w:b/>
          <w:bCs/>
        </w:rPr>
        <w:t xml:space="preserve">BMP MONEY PLUS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52D5B92B" w:rsidR="004A5FA4" w:rsidRDefault="000C1708">
      <w:pPr>
        <w:spacing w:after="529" w:line="259" w:lineRule="auto"/>
        <w:ind w:left="0" w:firstLine="0"/>
        <w:jc w:val="left"/>
      </w:pPr>
      <w:r>
        <w:t>E</w:t>
      </w:r>
      <w:r w:rsidR="003752E3">
        <w:t>-</w:t>
      </w:r>
      <w:r>
        <w:t xml:space="preserve">mail: </w:t>
      </w:r>
      <w:r>
        <w:rPr>
          <w:color w:val="0000FF"/>
          <w:u w:val="single" w:color="0000FF"/>
        </w:rPr>
        <w:t>cb@moneyp.com.br</w:t>
      </w:r>
      <w:r>
        <w:t xml:space="preserve"> </w:t>
      </w:r>
    </w:p>
    <w:p w14:paraId="16BAF2F8" w14:textId="011FBE18" w:rsidR="004A5FA4" w:rsidRDefault="15735DFA" w:rsidP="00BE19B1">
      <w:pPr>
        <w:spacing w:after="120" w:line="266" w:lineRule="auto"/>
        <w:ind w:left="-6" w:right="51" w:hanging="11"/>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2A620774" w14:textId="0DC4BC45" w:rsidR="00BE19B1" w:rsidRDefault="00CA09B1" w:rsidP="00BE19B1">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14:paraId="1D07DF40" w14:textId="4EDB8E60" w:rsidR="004A5FA4" w:rsidRDefault="000C1708" w:rsidP="00715E67">
      <w:pPr>
        <w:tabs>
          <w:tab w:val="center" w:pos="4267"/>
        </w:tabs>
        <w:spacing w:after="132"/>
        <w:ind w:left="0"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rsidP="00715E67">
      <w:pPr>
        <w:numPr>
          <w:ilvl w:val="0"/>
          <w:numId w:val="8"/>
        </w:numPr>
        <w:spacing w:after="131" w:line="266" w:lineRule="auto"/>
        <w:ind w:left="0" w:hanging="11"/>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rsidP="00715E67">
      <w:pPr>
        <w:numPr>
          <w:ilvl w:val="0"/>
          <w:numId w:val="8"/>
        </w:numPr>
        <w:spacing w:line="266" w:lineRule="auto"/>
        <w:ind w:left="0" w:hanging="11"/>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8" w:anchor="art516">
        <w:r>
          <w:t xml:space="preserve"> </w:t>
        </w:r>
      </w:hyperlink>
      <w:hyperlink r:id="rId9" w:anchor="art516">
        <w:r>
          <w:t>art. 516 do Código Civil.</w:t>
        </w:r>
      </w:hyperlink>
    </w:p>
    <w:p w14:paraId="62C73186" w14:textId="3B147120" w:rsidR="004A5FA4" w:rsidRDefault="000764E6" w:rsidP="00CA09B1">
      <w:pPr>
        <w:pStyle w:val="PargrafodaLista"/>
        <w:ind w:left="0" w:right="49" w:firstLine="0"/>
      </w:pPr>
      <w:hyperlink r:id="rId10"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14:paraId="4C7B5C22" w14:textId="01370C48" w:rsidR="00C659BD" w:rsidRDefault="000C1708" w:rsidP="00F75963">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o(s)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r w:rsidRPr="00D85AE5">
        <w:t xml:space="preserve">O(s) FIDUCIANTE(S) deverá(ão)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1" w:anchor="art647">
        <w:r>
          <w:t xml:space="preserve"> </w:t>
        </w:r>
      </w:hyperlink>
      <w:hyperlink r:id="rId12" w:anchor="art647">
        <w:r>
          <w:t>arts. 647</w:t>
        </w:r>
      </w:hyperlink>
      <w:hyperlink r:id="rId13" w:anchor="art647">
        <w:r>
          <w:t xml:space="preserve"> </w:t>
        </w:r>
      </w:hyperlink>
      <w:hyperlink r:id="rId14" w:anchor="art647">
        <w:r>
          <w:t>e</w:t>
        </w:r>
      </w:hyperlink>
      <w:hyperlink r:id="rId15" w:anchor="art648">
        <w:r>
          <w:t xml:space="preserve"> </w:t>
        </w:r>
      </w:hyperlink>
      <w:hyperlink r:id="rId16" w:anchor="art648">
        <w:r>
          <w:t>648 do Código Civil.</w:t>
        </w:r>
      </w:hyperlink>
      <w:hyperlink r:id="rId17"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DO(S)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do(s) Imóvel(eis) para fins de leilão, é de </w:t>
      </w:r>
      <w:r w:rsidR="007D32FB">
        <w:rPr>
          <w:b/>
          <w:bCs/>
        </w:rPr>
        <w:t xml:space="preserve"> </w:t>
      </w:r>
      <w:r w:rsidRPr="15735DFA">
        <w:rPr>
          <w:b/>
          <w:bCs/>
        </w:rPr>
        <w:t>vendaLeilao (</w:t>
      </w:r>
      <w:r w:rsidR="007D32FB">
        <w:rPr>
          <w:b/>
          <w:bCs/>
        </w:rPr>
        <w:t>ExtensoVendaLeilao</w:t>
      </w:r>
      <w:r w:rsidRPr="15735DFA">
        <w:rPr>
          <w:b/>
          <w:bCs/>
        </w:rPr>
        <w:t>),</w:t>
      </w:r>
      <w:r w:rsidRPr="15735DFA">
        <w:t xml:space="preserve"> conforme Laudo de Avaliação (anexo) elaborado por </w:t>
      </w:r>
      <w:r w:rsidRPr="15735DFA">
        <w:rPr>
          <w:b/>
          <w:bCs/>
        </w:rPr>
        <w:t>elaboradorNome - CREA elaboradorCrea</w:t>
      </w:r>
      <w:r>
        <w:t xml:space="preserve"> e responsável </w:t>
      </w:r>
      <w:r w:rsidRPr="15735DFA">
        <w:rPr>
          <w:b/>
          <w:bCs/>
        </w:rPr>
        <w:t>responsavelNome - CREA responsavelCrea,</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(novo)</w:t>
      </w:r>
    </w:p>
    <w:p w14:paraId="0066B862" w14:textId="01AAFE79" w:rsidR="004A5FA4" w:rsidRDefault="15735DFA" w:rsidP="5840DD94">
      <w:pPr>
        <w:spacing w:after="370"/>
        <w:ind w:left="-5" w:right="49"/>
      </w:pPr>
      <w:r w:rsidRPr="15735DFA">
        <w:rPr>
          <w:b/>
          <w:bCs/>
        </w:rPr>
        <w:lastRenderedPageBreak/>
        <w:t>6.2.</w:t>
      </w:r>
      <w:r>
        <w:t xml:space="preserve"> Até o pagamento integral da(s) CCB(s), a qualquer momento e independentemente do devido cumprimento das demais obrigações da </w:t>
      </w:r>
      <w:r w:rsidRPr="15735DFA">
        <w:rPr>
          <w:b/>
          <w:bCs/>
        </w:rPr>
        <w:t>FIDUCIANTE</w:t>
      </w:r>
      <w:r>
        <w:t xml:space="preserve"> </w:t>
      </w:r>
      <w:r w:rsidRPr="15735DFA">
        <w:rPr>
          <w:b/>
          <w:bCs/>
        </w:rPr>
        <w:t>nomeEmitente</w:t>
      </w:r>
      <w:r>
        <w:t xml:space="preserve"> contratadas no âmbito da CCB, o valor do Imóvel(eis) deverá ser equivalente a, pelo menos, </w:t>
      </w:r>
      <w:r w:rsidR="00336AA1">
        <w:rPr>
          <w:b/>
          <w:bCs/>
        </w:rPr>
        <w:t>porcentagemImovel</w:t>
      </w:r>
      <w:r w:rsidR="00BB2EF2">
        <w:rPr>
          <w:b/>
          <w:bCs/>
        </w:rPr>
        <w:t xml:space="preserve">% </w:t>
      </w:r>
      <w:r w:rsidR="00336AA1">
        <w:rPr>
          <w:b/>
          <w:bCs/>
        </w:rPr>
        <w:t>(</w:t>
      </w:r>
      <w:r w:rsidRPr="007735B9">
        <w:rPr>
          <w:rFonts w:asciiTheme="minorHAnsi" w:hAnsiTheme="minorHAnsi" w:cstheme="minorHAnsi"/>
          <w:b/>
          <w:bCs/>
        </w:rPr>
        <w:t>xtensoPorcentagemImovel</w:t>
      </w:r>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r>
        <w:rPr>
          <w:b/>
        </w:rPr>
        <w:t>o(s) FIDUCIANTE(S)</w:t>
      </w:r>
      <w:r>
        <w:t xml:space="preserve"> deverá(ão), no prazo de até 10 (dez) dias contados do recebimento de comunicação nesse sentido, oferecer à </w:t>
      </w:r>
      <w:r>
        <w:rPr>
          <w:b/>
        </w:rPr>
        <w:t>FIDUCIÁRIA</w:t>
      </w:r>
      <w:r>
        <w:t xml:space="preserve"> outra garantia que este considere aceitável, a seu exclusivo critério, para reforço das garantias nos termos da(s) CCBs.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imposto sobre transmissão inter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2A9FE30A" w:rsidR="004A5FA4" w:rsidRDefault="000C1708">
      <w:pPr>
        <w:ind w:left="-5" w:right="49"/>
      </w:pPr>
      <w:r>
        <w:rPr>
          <w:b/>
        </w:rPr>
        <w:t>7.3</w:t>
      </w:r>
      <w:r>
        <w:t xml:space="preserve"> </w:t>
      </w:r>
      <w:r w:rsidR="003752E3">
        <w:t xml:space="preserve"> </w:t>
      </w:r>
      <w:r>
        <w:t xml:space="preserve">As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541CCBED" w:rsidR="004A5FA4" w:rsidRDefault="000C1708">
      <w:pPr>
        <w:spacing w:after="208"/>
        <w:ind w:left="-5" w:right="49"/>
      </w:pPr>
      <w:r>
        <w:rPr>
          <w:b/>
        </w:rPr>
        <w:lastRenderedPageBreak/>
        <w:t>7.4.1</w:t>
      </w:r>
      <w:r>
        <w:t xml:space="preserve"> </w:t>
      </w:r>
      <w:r w:rsidR="003752E3">
        <w:t xml:space="preserve"> </w:t>
      </w:r>
      <w:r>
        <w:t xml:space="preserve">Se,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5.4.1 </w:t>
      </w:r>
      <w:r w:rsidR="009B2C32" w:rsidRPr="009B2C32">
        <w:t xml:space="preserve"> </w:t>
      </w:r>
      <w:r w:rsidRPr="009B2C32">
        <w:t>desta</w:t>
      </w:r>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observado o disposto no item 4.4. alínea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r>
        <w:rPr>
          <w:i/>
        </w:rPr>
        <w:t>Considerandos”</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São Paulo, SP, emissaoDia de emissaoMes de emissaoAno.</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BF7708A"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(Página de assinaturas da Cédula de Crédito Bancário nº XXXXXX, emitida por nomeEmitente, CPF/MF nº cpfEmitente, em favor de BMP MONEY PLUS SOCIEDADE DE CRÉDITO DIRETO S.A., CNPJ/ MF sob nº 34.337.707/0001-00, em dataDeEmissao).</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5B2234F"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 xml:space="preserve">BMP MONEY PLUS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15735DFA">
              <w:rPr>
                <w:color w:val="000000" w:themeColor="text1"/>
                <w:sz w:val="22"/>
                <w:szCs w:val="22"/>
              </w:rPr>
              <w:t>nomeEmitente</w:t>
            </w:r>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r>
              <w:rPr>
                <w:b w:val="0"/>
                <w:bCs w:val="0"/>
              </w:rPr>
              <w:t>classeEmitente</w:t>
            </w:r>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r w:rsidRPr="15735DFA">
              <w:rPr>
                <w:color w:val="000000" w:themeColor="text1"/>
                <w:sz w:val="22"/>
                <w:szCs w:val="22"/>
              </w:rPr>
              <w:t>nomeInterveniente</w:t>
            </w:r>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nomeAvalista</w:t>
            </w:r>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nomeTerceiroG</w:t>
            </w:r>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r>
              <w:t>FIDUCIANTE(S)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CPF:</w:t>
            </w:r>
            <w:r w:rsidR="52EE462E">
              <w:tab/>
            </w:r>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ANEXO I – MATRÍCULA DO(S)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ANEXO II – LAUDO(S)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8"/>
      <w:footerReference w:type="even" r:id="rId19"/>
      <w:footerReference w:type="default" r:id="rId20"/>
      <w:footerReference w:type="first" r:id="rId21"/>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B43D1" w14:textId="77777777" w:rsidR="000764E6" w:rsidRDefault="000764E6">
      <w:pPr>
        <w:spacing w:after="0" w:line="240" w:lineRule="auto"/>
      </w:pPr>
      <w:r>
        <w:separator/>
      </w:r>
    </w:p>
  </w:endnote>
  <w:endnote w:type="continuationSeparator" w:id="0">
    <w:p w14:paraId="6AA7CF88" w14:textId="77777777" w:rsidR="000764E6" w:rsidRDefault="0007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C8364A" w:rsidRPr="00C8364A">
      <w:rPr>
        <w:rFonts w:ascii="Trebuchet MS" w:eastAsia="Trebuchet MS" w:hAnsi="Trebuchet MS" w:cs="Trebuchet MS"/>
        <w:noProof/>
        <w:sz w:val="20"/>
      </w:rPr>
      <w:t>2</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5F98B" w14:textId="77777777" w:rsidR="000764E6" w:rsidRDefault="000764E6">
      <w:pPr>
        <w:spacing w:after="0" w:line="240" w:lineRule="auto"/>
      </w:pPr>
      <w:r>
        <w:separator/>
      </w:r>
    </w:p>
  </w:footnote>
  <w:footnote w:type="continuationSeparator" w:id="0">
    <w:p w14:paraId="59B0E2F3" w14:textId="77777777" w:rsidR="000764E6" w:rsidRDefault="00076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B37B0"/>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5" w15:restartNumberingAfterBreak="0">
    <w:nsid w:val="2C212F91"/>
    <w:multiLevelType w:val="hybridMultilevel"/>
    <w:tmpl w:val="0BF04D4E"/>
    <w:lvl w:ilvl="0" w:tplc="D414B948">
      <w:start w:val="1"/>
      <w:numFmt w:val="upperRoman"/>
      <w:lvlText w:val="%1-"/>
      <w:lvlJc w:val="left"/>
      <w:pPr>
        <w:ind w:left="1785"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15:restartNumberingAfterBreak="0">
    <w:nsid w:val="301433EF"/>
    <w:multiLevelType w:val="hybridMultilevel"/>
    <w:tmpl w:val="1EC610FC"/>
    <w:lvl w:ilvl="0" w:tplc="DB6C60E8">
      <w:start w:val="1"/>
      <w:numFmt w:val="upperRoman"/>
      <w:lvlText w:val="%1-"/>
      <w:lvlJc w:val="left"/>
      <w:pPr>
        <w:ind w:left="1785" w:hanging="360"/>
      </w:pPr>
      <w:rPr>
        <w:rFonts w:ascii="Calibri" w:eastAsia="Calibri" w:hAnsi="Calibri" w:cs="Calibri" w:hint="default"/>
        <w:b/>
        <w:bCs/>
        <w:i/>
        <w:iCs/>
        <w:strike w:val="0"/>
        <w:dstrike w:val="0"/>
        <w:color w:val="000000"/>
        <w:sz w:val="24"/>
        <w:szCs w:val="24"/>
        <w:u w:val="none" w:color="000000"/>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9930F5"/>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1"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8C0821"/>
    <w:multiLevelType w:val="hybridMultilevel"/>
    <w:tmpl w:val="0CF69EDE"/>
    <w:lvl w:ilvl="0" w:tplc="D414B948">
      <w:start w:val="1"/>
      <w:numFmt w:val="upperRoman"/>
      <w:lvlText w:val="%1-"/>
      <w:lvlJc w:val="left"/>
      <w:pPr>
        <w:ind w:left="720"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D90CA0"/>
    <w:multiLevelType w:val="hybridMultilevel"/>
    <w:tmpl w:val="A2B80F66"/>
    <w:lvl w:ilvl="0" w:tplc="FB1E7340">
      <w:start w:val="1"/>
      <w:numFmt w:val="upperRoman"/>
      <w:lvlText w:val="%1-"/>
      <w:lvlJc w:val="left"/>
      <w:pPr>
        <w:ind w:left="993" w:hanging="653"/>
      </w:pPr>
      <w:rPr>
        <w:rFonts w:ascii="Calibri" w:eastAsia="Calibri" w:hAnsi="Calibri" w:cs="Calibri" w:hint="default"/>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C2158E"/>
    <w:multiLevelType w:val="hybridMultilevel"/>
    <w:tmpl w:val="3DEE22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2"/>
  </w:num>
  <w:num w:numId="5">
    <w:abstractNumId w:val="14"/>
  </w:num>
  <w:num w:numId="6">
    <w:abstractNumId w:val="0"/>
  </w:num>
  <w:num w:numId="7">
    <w:abstractNumId w:val="7"/>
  </w:num>
  <w:num w:numId="8">
    <w:abstractNumId w:val="18"/>
  </w:num>
  <w:num w:numId="9">
    <w:abstractNumId w:val="9"/>
  </w:num>
  <w:num w:numId="10">
    <w:abstractNumId w:val="17"/>
  </w:num>
  <w:num w:numId="11">
    <w:abstractNumId w:val="8"/>
  </w:num>
  <w:num w:numId="12">
    <w:abstractNumId w:val="11"/>
  </w:num>
  <w:num w:numId="13">
    <w:abstractNumId w:val="4"/>
  </w:num>
  <w:num w:numId="14">
    <w:abstractNumId w:val="13"/>
  </w:num>
  <w:num w:numId="15">
    <w:abstractNumId w:val="19"/>
  </w:num>
  <w:num w:numId="16">
    <w:abstractNumId w:val="20"/>
  </w:num>
  <w:num w:numId="17">
    <w:abstractNumId w:val="5"/>
  </w:num>
  <w:num w:numId="18">
    <w:abstractNumId w:val="15"/>
  </w:num>
  <w:num w:numId="19">
    <w:abstractNumId w:val="1"/>
  </w:num>
  <w:num w:numId="20">
    <w:abstractNumId w:val="10"/>
  </w:num>
  <w:num w:numId="21">
    <w:abstractNumId w:val="21"/>
  </w:num>
  <w:num w:numId="22">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3">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66C34"/>
    <w:rsid w:val="000764E6"/>
    <w:rsid w:val="000B594B"/>
    <w:rsid w:val="000C1708"/>
    <w:rsid w:val="000E79ED"/>
    <w:rsid w:val="00125B67"/>
    <w:rsid w:val="0014725B"/>
    <w:rsid w:val="001B6A29"/>
    <w:rsid w:val="001B6C3F"/>
    <w:rsid w:val="00275E96"/>
    <w:rsid w:val="00276A6C"/>
    <w:rsid w:val="002A0CB5"/>
    <w:rsid w:val="002C3F03"/>
    <w:rsid w:val="0033102E"/>
    <w:rsid w:val="00336AA1"/>
    <w:rsid w:val="00374B4C"/>
    <w:rsid w:val="003752E3"/>
    <w:rsid w:val="0037555C"/>
    <w:rsid w:val="00375BFD"/>
    <w:rsid w:val="00400DE6"/>
    <w:rsid w:val="004338D3"/>
    <w:rsid w:val="004446F1"/>
    <w:rsid w:val="00470C5E"/>
    <w:rsid w:val="004828BD"/>
    <w:rsid w:val="004A5FA4"/>
    <w:rsid w:val="004D21B2"/>
    <w:rsid w:val="00521F0E"/>
    <w:rsid w:val="00561D4D"/>
    <w:rsid w:val="005A28F4"/>
    <w:rsid w:val="005B4641"/>
    <w:rsid w:val="00654188"/>
    <w:rsid w:val="00674495"/>
    <w:rsid w:val="00715E67"/>
    <w:rsid w:val="00737780"/>
    <w:rsid w:val="007735B9"/>
    <w:rsid w:val="007A4B5F"/>
    <w:rsid w:val="007C7341"/>
    <w:rsid w:val="007D32FB"/>
    <w:rsid w:val="008F5E85"/>
    <w:rsid w:val="00995751"/>
    <w:rsid w:val="009A170B"/>
    <w:rsid w:val="009B2C32"/>
    <w:rsid w:val="009B3F6B"/>
    <w:rsid w:val="009E48C0"/>
    <w:rsid w:val="00A11225"/>
    <w:rsid w:val="00A24D45"/>
    <w:rsid w:val="00AF2709"/>
    <w:rsid w:val="00AF7D21"/>
    <w:rsid w:val="00B4190E"/>
    <w:rsid w:val="00B46333"/>
    <w:rsid w:val="00BB2EF2"/>
    <w:rsid w:val="00BB3BE0"/>
    <w:rsid w:val="00BE19B1"/>
    <w:rsid w:val="00C00CEC"/>
    <w:rsid w:val="00C359CC"/>
    <w:rsid w:val="00C659BD"/>
    <w:rsid w:val="00C74052"/>
    <w:rsid w:val="00C8364A"/>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lanalto.gov.br/ccivil_03/leis/L3071.htm" TargetMode="External"/><Relationship Id="rId17" Type="http://schemas.openxmlformats.org/officeDocument/2006/relationships/hyperlink" Target="http://www.planalto.gov.br/ccivil_03/leis/L3071.htm" TargetMode="External"/><Relationship Id="rId2" Type="http://schemas.openxmlformats.org/officeDocument/2006/relationships/numbering" Target="numbering.xml"/><Relationship Id="rId16" Type="http://schemas.openxmlformats.org/officeDocument/2006/relationships/hyperlink" Target="http://www.planalto.gov.br/ccivil_03/leis/L307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3071.htm" TargetMode="External"/><Relationship Id="rId5" Type="http://schemas.openxmlformats.org/officeDocument/2006/relationships/webSettings" Target="webSettings.xml"/><Relationship Id="rId15" Type="http://schemas.openxmlformats.org/officeDocument/2006/relationships/hyperlink" Target="http://www.planalto.gov.br/ccivil_03/leis/L3071.htm" TargetMode="External"/><Relationship Id="rId23" Type="http://schemas.openxmlformats.org/officeDocument/2006/relationships/theme" Target="theme/theme1.xml"/><Relationship Id="rId10" Type="http://schemas.openxmlformats.org/officeDocument/2006/relationships/hyperlink" Target="http://www.planalto.gov.br/ccivil_03/leis/L3071.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4859-D20C-4121-A6EA-F955AFE5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5253</Words>
  <Characters>28367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Usuario</cp:lastModifiedBy>
  <cp:revision>2</cp:revision>
  <dcterms:created xsi:type="dcterms:W3CDTF">2022-02-23T19:58:00Z</dcterms:created>
  <dcterms:modified xsi:type="dcterms:W3CDTF">2022-02-23T19:58:00Z</dcterms:modified>
</cp:coreProperties>
</file>