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3CB363D4" w:rsidR="00DE405B" w:rsidRPr="008F0C15" w:rsidRDefault="2E18C27D" w:rsidP="2E18C27D">
      <w:pPr>
        <w:spacing w:after="0" w:line="240" w:lineRule="auto"/>
        <w:ind w:left="-6" w:right="40" w:hanging="11"/>
        <w:contextualSpacing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I – CREDOR: BMP MONEY PLUS SOCIEDADE DE CRÉDITO DIRETO S.A.</w:t>
      </w:r>
      <w:r w:rsidRPr="2E18C27D">
        <w:rPr>
          <w:rFonts w:asciiTheme="minorHAnsi" w:hAnsiTheme="minorHAnsi" w:cstheme="minorBidi"/>
          <w:sz w:val="22"/>
          <w:szCs w:val="22"/>
        </w:rPr>
        <w:t xml:space="preserve">, instituição financeira, inscrita no CNPJ/MF sob nº 34.337.707/0001-00, com sede na Av. Paulista, 1765, 1º Andar, CEP 01311-200, São Paulo, SP, neste ato, representada na forma do seu Estatuto Social; 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4F151662" w14:textId="6BE37985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II – EMITENTE: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dadosEmpresaEmitente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nomeEmitente</w:t>
      </w:r>
      <w:proofErr w:type="spell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filhoEmitente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maeEmitente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paiEmitente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nacionalidadeEmitente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profissaoEmitente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estadoCivilEmitente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="Calibri" w:eastAsia="Calibri" w:hAnsi="Calibri" w:cs="Calibri"/>
          <w:color w:val="000000" w:themeColor="text1"/>
        </w:rPr>
        <w:t>regimeCasamentoEmitente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nomeConjugeEmitente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portador(a) da Cédula de Identidade RG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numeroRgEmitente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SSP/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inscrito(a) no CPF/MF sob o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endereço </w:t>
      </w:r>
      <w:r w:rsidR="005B5D95" w:rsidRPr="4AECF8AB">
        <w:rPr>
          <w:rFonts w:asciiTheme="minorHAnsi" w:hAnsiTheme="minorHAnsi" w:cstheme="minorBidi"/>
          <w:sz w:val="22"/>
          <w:szCs w:val="22"/>
        </w:rPr>
        <w:t>eletrônico</w:t>
      </w:r>
      <w:r w:rsidRPr="4AECF8AB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emailEmitente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residente e domiciliado à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logradouroEmitente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complementoEmitente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CEP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cepEmitente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;</w:t>
      </w:r>
    </w:p>
    <w:p w14:paraId="2ED90A1E" w14:textId="1B8B6B0E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criaInterveniente</w:t>
      </w:r>
      <w:proofErr w:type="spellEnd"/>
      <w:proofErr w:type="gram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criaAvalista</w:t>
      </w:r>
      <w:proofErr w:type="spellEnd"/>
    </w:p>
    <w:p w14:paraId="4EDB24D4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06BF3001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D63E1F1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</w:t>
      </w:r>
      <w:r w:rsidR="00080A68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 garante que está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B432E71" w14:textId="511FB1EF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47F9FB2F" w14:textId="5C26205A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DB3F436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1C47B0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2A298200" w:rsidR="0030344A" w:rsidRPr="00154FE2" w:rsidRDefault="11C9AE69" w:rsidP="11C9AE69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);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D8D8791" w:rsidR="0030344A" w:rsidRPr="008F0C15" w:rsidRDefault="11C9AE69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e será pago pelo EMITENTE na data de emissão desta CCB, sendo o mesmo deduzido no ato da liberação do recurso que entrará a crédito na Conta Corrente descrita no item 2.5 desta CCB, e será devido por conta da guarda, manutenção e atualização de dados cadastrais, bem como permanente e contínua geração de dados relativos ao cumprimento dos direitos e obrigações decorrentes deste instrumento; </w:t>
      </w:r>
    </w:p>
    <w:p w14:paraId="5F725FF7" w14:textId="334E4AAE" w:rsidR="004366BF" w:rsidRPr="008F0C15" w:rsidRDefault="3B2552B0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lastRenderedPageBreak/>
        <w:t>Valor do Imposto sobre Operações Financeiras (IOF)</w:t>
      </w:r>
      <w:r w:rsidRPr="3B2552B0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ExtensoValorIOF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),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FD08450" w14:textId="18CD7C1F" w:rsidR="11C9AE69" w:rsidRDefault="5ABDCCF0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ExtensoValorDespesas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>);</w:t>
      </w:r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1136D06B" w:rsidR="00530CA2" w:rsidRPr="00530CA2" w:rsidRDefault="11C9AE69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valor líquido do crédito concedido é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após o desconto do Custo de Emissão, IOF e Despesas Acessórias desta CCB;</w:t>
      </w:r>
    </w:p>
    <w:p w14:paraId="4FDA5713" w14:textId="06B63BB6" w:rsidR="0030344A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8F0C15" w:rsidRDefault="001C47B0" w:rsidP="001C47B0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11C9AE69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11C9AE69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0276F4A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r w:rsidR="00A5518D">
        <w:rPr>
          <w:rFonts w:asciiTheme="minorHAnsi" w:hAnsiTheme="minorHAnsi" w:cstheme="minorHAnsi"/>
          <w:sz w:val="22"/>
          <w:szCs w:val="22"/>
        </w:rPr>
        <w:t xml:space="preserve">calculado com base no ano de </w:t>
      </w:r>
      <w:bookmarkStart w:id="0" w:name="_GoBack"/>
      <w:r w:rsidR="00A5518D">
        <w:rPr>
          <w:rFonts w:asciiTheme="minorHAnsi" w:hAnsiTheme="minorHAnsi" w:cstheme="minorHAnsi"/>
          <w:sz w:val="22"/>
          <w:szCs w:val="22"/>
        </w:rPr>
        <w:t>36</w:t>
      </w:r>
      <w:bookmarkEnd w:id="0"/>
      <w:r w:rsidR="00A5518D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1363E1E7" w:rsidR="0030344A" w:rsidRPr="008F0C15" w:rsidRDefault="5ABDCCF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Mês: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taxaDeJurosMes</w:t>
      </w:r>
      <w:bookmarkStart w:id="1" w:name="_Hlk80937382"/>
      <w:proofErr w:type="spellEnd"/>
      <w:r w:rsidRPr="5ABDCCF0">
        <w:rPr>
          <w:rFonts w:asciiTheme="minorHAnsi" w:eastAsia="Calibri" w:hAnsiTheme="minorHAnsi" w:cstheme="minorBidi"/>
          <w:sz w:val="22"/>
          <w:szCs w:val="22"/>
        </w:rPr>
        <w:t>%</w:t>
      </w:r>
      <w:bookmarkEnd w:id="1"/>
    </w:p>
    <w:p w14:paraId="6CC900F2" w14:textId="40476683" w:rsidR="0030344A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taxaDeJurosAno</w:t>
      </w:r>
      <w:bookmarkStart w:id="2" w:name="_Hlk80901162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2"/>
    </w:p>
    <w:p w14:paraId="3339DF4C" w14:textId="77777777" w:rsidR="001C47B0" w:rsidRPr="008F0C15" w:rsidRDefault="001C47B0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55C3ADCE" w:rsidR="0030344A" w:rsidRPr="008F0C15" w:rsidRDefault="3B2552B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cetMes</w:t>
      </w:r>
      <w:bookmarkStart w:id="3" w:name="_Hlk80937730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3"/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3EF1CA69" w:rsidR="007500E2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cetAno</w:t>
      </w:r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5ECEBA4C" w:rsidR="0030344A" w:rsidRPr="008F0C15" w:rsidRDefault="11C9AE69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r w:rsidRPr="11C9AE69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contaCorrente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Agência nº agencia, BANCO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nomeBanco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727ED0" w14:textId="49A0FCCA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2.7. Fluxo de Pagamento (Juros e Amortização):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conforme ANEXO I;</w:t>
      </w:r>
    </w:p>
    <w:p w14:paraId="6AFB458E" w14:textId="74B5D117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6039161" w14:textId="4F5EDD12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lastRenderedPageBreak/>
        <w:t>2.7.1. Valor e Fluxo de Pagamento do Seguro de Morte e Invalidez Permanente (MIP):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conforme ANEXO I. </w:t>
      </w:r>
    </w:p>
    <w:p w14:paraId="3E1518FA" w14:textId="577C5513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C2C9D0E" w14:textId="55102D7D" w:rsidR="11C9AE69" w:rsidRDefault="560C9094" w:rsidP="11C9AE69">
      <w:pPr>
        <w:spacing w:after="0" w:line="240" w:lineRule="auto"/>
        <w:ind w:left="-5" w:right="41"/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vencimentoPrimeiraParcelaDFI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vencimentoUltimaParcelaDFI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>), conforme ANEXO I.</w:t>
      </w:r>
    </w:p>
    <w:p w14:paraId="72FD2D3A" w14:textId="6AB977CF" w:rsidR="560C9094" w:rsidRDefault="560C9094" w:rsidP="560C9094">
      <w:pPr>
        <w:spacing w:line="240" w:lineRule="auto"/>
        <w:ind w:right="53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EC14D59" w14:textId="61CCA4AD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C90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</w:t>
      </w:r>
      <w:r w:rsidRPr="560C909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20AE054D" w14:textId="09B19A29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4CB7738" w14:textId="53C647FB" w:rsidR="560C9094" w:rsidRDefault="4D1FCB4A" w:rsidP="4D1FCB4A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D1FCB4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2.8.1.</w:t>
      </w:r>
      <w:r w:rsidRPr="4D1FCB4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C7FCD37" w14:textId="19553633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D3E8CEF" w14:textId="47395F96" w:rsidR="00662F14" w:rsidRPr="008F0C15" w:rsidRDefault="560C9094" w:rsidP="560C9094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560C9094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560C9094">
        <w:rPr>
          <w:rFonts w:asciiTheme="minorHAnsi" w:hAnsiTheme="minorHAnsi" w:cstheme="minorBidi"/>
          <w:sz w:val="22"/>
          <w:szCs w:val="22"/>
        </w:rPr>
        <w:t>s) EMITENTE(S) poderá(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verificar as datas de divulgação dos indicadores no sítio eletrônico </w:t>
      </w:r>
      <w:hyperlink r:id="rId8">
        <w:r w:rsidRPr="560C9094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560C9094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1B3EC7C" w14:textId="3A55615A" w:rsidR="11C9AE69" w:rsidRDefault="2E18C27D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2E18C27D">
        <w:rPr>
          <w:rFonts w:asciiTheme="minorHAnsi" w:hAnsiTheme="minorHAnsi" w:cstheme="minorBidi"/>
          <w:sz w:val="22"/>
          <w:szCs w:val="22"/>
        </w:rPr>
        <w:t xml:space="preserve"> </w:t>
      </w:r>
      <w:r w:rsidRPr="2E18C27D">
        <w:rPr>
          <w:rFonts w:asciiTheme="minorHAnsi" w:hAnsiTheme="minorHAnsi" w:cstheme="minorBidi"/>
          <w:b/>
          <w:bCs/>
          <w:sz w:val="22"/>
          <w:szCs w:val="22"/>
        </w:rPr>
        <w:t xml:space="preserve">Tarifa de Liquidação Antecipada: 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>% (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ExtensoTarifaAntecipada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 xml:space="preserve"> por cento); </w:t>
      </w:r>
    </w:p>
    <w:p w14:paraId="51BDD35F" w14:textId="07529552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37ACDD4" w14:textId="0DEA128A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2.11. Data de Emissão: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; </w:t>
      </w:r>
    </w:p>
    <w:p w14:paraId="7A68284F" w14:textId="367328EF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</w:p>
    <w:p w14:paraId="7969CE15" w14:textId="0D7D8C43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2.12. Data de Vencimento: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97FAE8" w14:textId="189EB315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5CE53B25" w14:textId="733D4A29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153054D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D2D3065" w:rsidR="00C93217" w:rsidRPr="008F0C15" w:rsidRDefault="4AECF8AB" w:rsidP="11C9AE69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4AECF8AB">
        <w:rPr>
          <w:rFonts w:asciiTheme="minorHAnsi" w:hAnsiTheme="minorHAnsi" w:cstheme="minorBidi"/>
          <w:sz w:val="22"/>
          <w:szCs w:val="22"/>
        </w:rPr>
        <w:t>Em garantia do fiel, integral e pontual cumprimento de todas as obrigações assumidas na presente CCB, o EMITENTE aliena fiduciariamente ao CREDOR o(s)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imóvel(eis), de sua propriedade,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com a(s) seguinte(s) descrição(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ões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): </w:t>
      </w:r>
      <w:proofErr w:type="spellStart"/>
      <w:r w:rsidRPr="4AECF8AB">
        <w:rPr>
          <w:rFonts w:asciiTheme="minorHAnsi" w:hAnsiTheme="minorHAnsi" w:cstheme="minorBidi"/>
          <w:b/>
          <w:bCs/>
          <w:i/>
          <w:iCs/>
          <w:sz w:val="22"/>
          <w:szCs w:val="22"/>
        </w:rPr>
        <w:t>ImagemImovel</w:t>
      </w:r>
      <w:proofErr w:type="spellEnd"/>
      <w:r w:rsidRPr="4AECF8AB">
        <w:rPr>
          <w:rFonts w:asciiTheme="minorHAnsi" w:hAnsiTheme="minorHAnsi" w:cstheme="minorBidi"/>
          <w:i/>
          <w:iCs/>
          <w:sz w:val="22"/>
          <w:szCs w:val="22"/>
        </w:rPr>
        <w:t xml:space="preserve"> , </w:t>
      </w:r>
      <w:r w:rsidRPr="4AECF8AB">
        <w:rPr>
          <w:rFonts w:asciiTheme="minorHAnsi" w:hAnsiTheme="minorHAnsi" w:cstheme="minorBidi"/>
          <w:sz w:val="22"/>
          <w:szCs w:val="22"/>
        </w:rPr>
        <w:t xml:space="preserve">objeto da matrícula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(“Bem Imóvel” ou “Imóvel”), registrada perante o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cartorioImovel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Cartório de Registro de Imóveis da Comarca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11C9AE69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solteiro(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8F0C15" w:rsidRDefault="00D3599D" w:rsidP="00D3599D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11C9AE69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lastRenderedPageBreak/>
        <w:t xml:space="preserve">O CREDOR Fica autorizado neste ato a contratar em nome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s) EMITENTE, os seguros para cobertura dos riscos de morte e invalidez permanente e de danos físicos ao(s) Imóvel(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is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descrito(s) na cláusula 3 acima, cujos prêmios deverão ser pagos mensalmente. O CREDOR, ou quem vier a substituí-lo, 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2FF757B0" w:rsidR="0030344A" w:rsidRPr="008F0C15" w:rsidRDefault="11C9AE69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Assim, declara-se ciente o EMITENTE que qualquer alteração nas condições inicialmente informadas para a contratação, tais como, mas não se limitando, por exemplo,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8F0C15" w:rsidRDefault="11C9AE69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Declara ainda o EMITENTE 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TERCEIROS(S) GARANTIDOR(ES) que: </w:t>
      </w:r>
    </w:p>
    <w:p w14:paraId="70CB07C6" w14:textId="6A2A29B5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tem(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37F62992" w14:textId="77777777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os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79A59C94" w14:textId="12DC514E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autoriza(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ficará(</w:t>
      </w:r>
      <w:proofErr w:type="spellStart"/>
      <w:proofErr w:type="gramEnd"/>
      <w:r w:rsidRPr="11C9AE69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7F2CFE" w14:textId="7DBFCC90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Na hipótese da cláusula acima, no caso de não liquidação do saldo remanescente pelos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DEVEDOR(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ES), seus herdeiros e sucessores a qualquer título, sobre estes incidirá os encargos moratórios previstos na cláusula 6, bem como a respectiva execução da garantia pelo CREDOR ou quem vier a substituí-lo.</w:t>
      </w:r>
    </w:p>
    <w:p w14:paraId="4217B4DC" w14:textId="7A32760A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CE763D3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3B821B51" w14:textId="77777777" w:rsidR="00D3599D" w:rsidRPr="008F0C15" w:rsidRDefault="00D3599D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5CAC19D0" w14:textId="43454A30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declara que tomou conhecimento do cálculo do CET indicado no item 2.4 acima, previamente à operação de empréstimo contratada por meio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 xml:space="preserve">Instrumento Particular de Alienação Fiduciária de </w:t>
      </w:r>
      <w:proofErr w:type="gramStart"/>
      <w:r w:rsidR="004404ED" w:rsidRPr="008F0C15">
        <w:rPr>
          <w:rFonts w:asciiTheme="minorHAnsi" w:hAnsiTheme="minorHAnsi" w:cstheme="minorHAnsi"/>
          <w:sz w:val="22"/>
          <w:szCs w:val="22"/>
        </w:rPr>
        <w:t>Bem(</w:t>
      </w:r>
      <w:proofErr w:type="spellStart"/>
      <w:proofErr w:type="gramEnd"/>
      <w:r w:rsidR="004404ED" w:rsidRPr="008F0C15">
        <w:rPr>
          <w:rFonts w:asciiTheme="minorHAnsi" w:hAnsiTheme="minorHAnsi" w:cstheme="minorHAnsi"/>
          <w:sz w:val="22"/>
          <w:szCs w:val="22"/>
        </w:rPr>
        <w:t>ns</w:t>
      </w:r>
      <w:proofErr w:type="spellEnd"/>
      <w:r w:rsidR="004404ED" w:rsidRPr="008F0C15">
        <w:rPr>
          <w:rFonts w:asciiTheme="minorHAnsi" w:hAnsiTheme="minorHAnsi" w:cstheme="minorHAnsi"/>
          <w:sz w:val="22"/>
          <w:szCs w:val="22"/>
        </w:rPr>
        <w:t>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37F719E3" w:rsidR="007809D1" w:rsidRDefault="00D65E57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Entrega do protocolo do registro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 da alienação fiduciária em favor do CREDOR na matrícula do imóvel descrito na cláusula 3 dessa CCB</w:t>
      </w:r>
      <w:r w:rsidR="004404ED" w:rsidRPr="008F0C15">
        <w:rPr>
          <w:rFonts w:asciiTheme="minorHAnsi" w:hAnsiTheme="minorHAnsi" w:cstheme="minorHAnsi"/>
          <w:sz w:val="22"/>
          <w:szCs w:val="22"/>
        </w:rPr>
        <w:t>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D241AFC" w14:textId="1DA8DAA8" w:rsidR="0030344A" w:rsidRPr="008F0C15" w:rsidRDefault="0086433E" w:rsidP="00F34AA1">
      <w:pPr>
        <w:pStyle w:val="PargrafodaLista"/>
        <w:numPr>
          <w:ilvl w:val="1"/>
          <w:numId w:val="4"/>
        </w:num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Partes anuem que, caso as condições precedentes acima não sejam cumpridas no prazo de até 30</w:t>
      </w:r>
      <w:r w:rsidR="002666DA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(trinta) dias corridos contados da emissão da CCB, o referido título 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poderá </w:t>
      </w:r>
      <w:r w:rsidRPr="008F0C15">
        <w:rPr>
          <w:rFonts w:asciiTheme="minorHAnsi" w:hAnsiTheme="minorHAnsi" w:cstheme="minorHAnsi"/>
          <w:sz w:val="22"/>
          <w:szCs w:val="22"/>
        </w:rPr>
        <w:t xml:space="preserve">será considerado cancelado deixando de surtir efeitos, obrigações, direitos e deveres às Partes. </w:t>
      </w:r>
    </w:p>
    <w:p w14:paraId="1810FE40" w14:textId="25DCD1F0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EMITENTE(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Os pagamentos devidos ao CREDOR, previstos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3ED7B74" w14:textId="50D289BE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remuneratórios nos mesmos percentuais das taxas contratadas nessa CCB,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de mora à razão de 1% a.m. (um por cento ao mês),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062F988" w14:textId="4F601111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26A7A758" w14:textId="77777777" w:rsidR="005E6131" w:rsidRPr="008F0C15" w:rsidRDefault="005E6131" w:rsidP="005E613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em consonância com as cláusulas e condições aqui estabelecidas, principalmente no que tange ao pagamento das parcelas devidas em decorrências do empréstimo a ele concedido por força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e/ou quaisquer AFILIADAS, inclusive no exterior, tornarem-se insolventes,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requerer(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3EEBD4B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sofrer qualquer (quaisquer)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medida(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2BCDD27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Bem Imóvel objeto da garantia à presente CCB apresentar quaisquer características, ônus ou gravame ou caso ocorra qualquer ato ou omissão por parte d</w:t>
      </w:r>
      <w:r w:rsidR="00080A68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parcela(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ao EMITENTE notificação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01E2A8D" w14:textId="1961090C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F95C69A" w14:textId="77777777" w:rsidR="003756E9" w:rsidRPr="008F0C15" w:rsidRDefault="003756E9" w:rsidP="003756E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proofErr w:type="gramStart"/>
      <w:r w:rsidRPr="008F0C15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8F0C15">
        <w:rPr>
          <w:rFonts w:asciiTheme="minorHAnsi" w:hAnsiTheme="minorHAnsi" w:cstheme="minorHAnsi"/>
          <w:i/>
          <w:sz w:val="22"/>
          <w:szCs w:val="22"/>
        </w:rPr>
        <w:t xml:space="preserve">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3AA765" w14:textId="5387C7A7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Sempre que for necessário, a apuração do saldo devedor do EMITENTE será realizada pelo CREDOR mediante planilha de cálculo, que constituirá documento integrante e inseparável </w:t>
      </w:r>
      <w:proofErr w:type="gramStart"/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>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CCB. </w:t>
      </w:r>
    </w:p>
    <w:p w14:paraId="45CE0CAC" w14:textId="1337885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1A386F1" w14:textId="5F06D164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239BE590" w14:textId="768C6472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coronavírus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(COVID-19), reconhecido oficialmente como pandemia pela Organização Mundial de Saúde (OMS), é anterior à celebração desta CCB e que a pandemia não apresenta caráter de imprevisibilidade,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extraordinariedade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superveniência no presente momento,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reconhece que tais eventos não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configuram caso fortuito ou de força maior, conforme definição do artigo 393 do Código Civil,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Experian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(cinco) dias úteis contados da data de sua solicitação, pelo CREDOR, por carta sob protocolo ou registro postal, para que o EMITENTE providencie o respectivo reforço, sob pena do imediato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fornecer ao Banco Central do Brasil informações sobre esta CCB, para integrar o SCR;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</w:t>
      </w:r>
      <w:proofErr w:type="gramStart"/>
      <w:r w:rsidR="0086433E" w:rsidRPr="008F0C15">
        <w:rPr>
          <w:rFonts w:asciiTheme="minorHAnsi" w:hAnsiTheme="minorHAnsi" w:cstheme="minorHAnsi"/>
          <w:sz w:val="22"/>
          <w:szCs w:val="22"/>
        </w:rPr>
        <w:t>“pro</w:t>
      </w:r>
      <w:proofErr w:type="gram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-rata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temporis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</w:t>
      </w:r>
      <w:r w:rsidR="0086433E"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direito de acompanhar detidamente todo o andamento da operação bancária, motivo pelo qual, da 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ação e o de protesto em face do respectivo EMITENTE, para exigir o cumprimento da obrigação de pagamento, ou visando resguardar qualquer direito;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garantias eventualmente existentes, sejam reais ou pessoais;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iv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447826C5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EMITENTE, está integralmente ciente(s) e de acordo com o seguinte: (i) qualquer litígio ou questionamento, judicial ou extrajudicial, que possa vir a ser ajuizado, deverá ser ajuizado, àquele portador endossatário da CCB na data do ajuizamento do litígio ou questionamento;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o ajuizamento de qualquer ação, judicial ou extrajudicial, pelo EMITENTE, contra o CREDOR, após o mesmo ter endossado esta CCB para terceiro, o EMITENTE, estará sujeito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O EMITENTE desde já se declara de acordo com a emissão do certificado referido no item 10.13, obrigando-se a atender às solicitações da instituição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custodiante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o foro da comarca de São Paulo capital com a exclusão de qualquer outro, por mais privilegiado que seja, reservando-se o credor da CCB o direito de optar, a seu 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AB3CA15" w14:textId="6BE72559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São Paulo, SP,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emissaoDia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emissaoMes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emissaoAno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.</w:t>
      </w:r>
    </w:p>
    <w:p w14:paraId="36545FFA" w14:textId="77777777" w:rsidR="002C04F3" w:rsidRPr="008F0C15" w:rsidRDefault="002C04F3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0E10BC2B" w14:textId="716DED61" w:rsidR="0030344A" w:rsidRDefault="741E0F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741E0FC3">
        <w:rPr>
          <w:rFonts w:asciiTheme="minorHAnsi" w:hAnsiTheme="minorHAnsi" w:cstheme="minorBidi"/>
          <w:sz w:val="22"/>
          <w:szCs w:val="22"/>
        </w:rPr>
        <w:t xml:space="preserve">(Segue a página de assinaturas) </w:t>
      </w:r>
    </w:p>
    <w:p w14:paraId="2907D436" w14:textId="18CB6331" w:rsidR="741E0FC3" w:rsidRDefault="741E0FC3"/>
    <w:p w14:paraId="6B0752A9" w14:textId="5914B675" w:rsidR="741E0FC3" w:rsidRDefault="741E0FC3" w:rsidP="741E0FC3">
      <w:pPr>
        <w:spacing w:after="0" w:line="240" w:lineRule="auto"/>
        <w:ind w:right="60"/>
        <w:jc w:val="center"/>
        <w:rPr>
          <w:rFonts w:asciiTheme="minorHAnsi" w:hAnsiTheme="minorHAnsi" w:cstheme="minorBidi"/>
          <w:sz w:val="22"/>
          <w:szCs w:val="22"/>
        </w:rPr>
      </w:pPr>
    </w:p>
    <w:p w14:paraId="21389EEC" w14:textId="1D8D35E6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D598162" w14:textId="77777777" w:rsidR="00080A68" w:rsidRDefault="00080A68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3A9768" w14:textId="03E5DDA9" w:rsidR="741E0FC3" w:rsidRDefault="741E0FC3">
      <w:r>
        <w:br w:type="page"/>
      </w:r>
    </w:p>
    <w:p w14:paraId="639B13BC" w14:textId="77777777" w:rsidR="002C49D0" w:rsidRPr="008F0C15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D3C16BE" w14:textId="5D094881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i/>
          <w:iCs/>
          <w:sz w:val="22"/>
          <w:szCs w:val="22"/>
        </w:rPr>
      </w:pPr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(Página de assinaturas da Cédula de Crédito Bancário nº XXXXXX, emitida por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nomeEmitente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, CPF/MF nº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cpfEmitente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, em favor de BMP MONEY PLUS SOCIEDADE DE CRÉDITO DIRETO S.A., CNPJ/ MF sob nº 34.337.707/0001-00, em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>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87" w:type="dxa"/>
        <w:tblInd w:w="0" w:type="dxa"/>
        <w:tblLook w:val="04A0" w:firstRow="1" w:lastRow="0" w:firstColumn="1" w:lastColumn="0" w:noHBand="0" w:noVBand="1"/>
      </w:tblPr>
      <w:tblGrid>
        <w:gridCol w:w="4485"/>
        <w:gridCol w:w="5002"/>
      </w:tblGrid>
      <w:tr w:rsidR="0030344A" w:rsidRPr="008F0C15" w14:paraId="3FEF578E" w14:textId="77777777" w:rsidTr="5ABDCCF0">
        <w:trPr>
          <w:trHeight w:val="1147"/>
        </w:trPr>
        <w:tc>
          <w:tcPr>
            <w:tcW w:w="4485" w:type="dxa"/>
          </w:tcPr>
          <w:p w14:paraId="73589368" w14:textId="77777777" w:rsidR="0030344A" w:rsidRPr="008F0C15" w:rsidRDefault="0086433E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F0C15">
              <w:rPr>
                <w:rFonts w:asciiTheme="minorHAnsi" w:hAnsiTheme="minorHAnsi" w:cstheme="minorHAnsi"/>
                <w:sz w:val="22"/>
                <w:szCs w:val="22"/>
              </w:rPr>
              <w:t xml:space="preserve">____________________________________ </w:t>
            </w:r>
          </w:p>
          <w:p w14:paraId="1EA8F202" w14:textId="77777777" w:rsidR="002C04F3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BMP MONEY PLUS SOCIEDADE DE CRÉDITO </w:t>
            </w:r>
          </w:p>
          <w:p w14:paraId="31ABA4A2" w14:textId="77777777" w:rsidR="0030344A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DIRETO S.A. </w:t>
            </w:r>
          </w:p>
          <w:p w14:paraId="281BE5C2" w14:textId="20D7A9C1" w:rsidR="002C04F3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CREDOR</w:t>
            </w:r>
          </w:p>
        </w:tc>
        <w:tc>
          <w:tcPr>
            <w:tcW w:w="5002" w:type="dxa"/>
          </w:tcPr>
          <w:p w14:paraId="514A0962" w14:textId="2ED07300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___________________________________</w:t>
            </w:r>
          </w:p>
          <w:p w14:paraId="09613952" w14:textId="51423496" w:rsidR="00E0299B" w:rsidRPr="002C49D0" w:rsidRDefault="2E18C27D" w:rsidP="11C9AE69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2E18C27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nomeEmitente</w:t>
            </w:r>
            <w:proofErr w:type="spellEnd"/>
            <w:proofErr w:type="gramEnd"/>
          </w:p>
          <w:p w14:paraId="43B11663" w14:textId="77777777" w:rsidR="00080A68" w:rsidRDefault="00080A68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56E080" w14:textId="759A836E" w:rsidR="002C04F3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EMITENTE</w:t>
            </w:r>
          </w:p>
        </w:tc>
      </w:tr>
      <w:tr w:rsidR="0030344A" w:rsidRPr="008F0C15" w14:paraId="668F46C4" w14:textId="77777777" w:rsidTr="5ABDCCF0">
        <w:trPr>
          <w:trHeight w:val="733"/>
        </w:trPr>
        <w:tc>
          <w:tcPr>
            <w:tcW w:w="4485" w:type="dxa"/>
            <w:vAlign w:val="bottom"/>
          </w:tcPr>
          <w:p w14:paraId="7291F948" w14:textId="2557E2C2" w:rsidR="00E0299B" w:rsidRDefault="00E0299B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8FA9B09" w14:textId="1FAFD137" w:rsidR="5ABDCCF0" w:rsidRPr="005B5D95" w:rsidRDefault="5ABDCCF0" w:rsidP="5ABDCCF0">
            <w:pPr>
              <w:spacing w:after="165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05B5D9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_i </w:t>
            </w:r>
          </w:p>
          <w:p w14:paraId="370DA099" w14:textId="575D3033" w:rsidR="5ABDCCF0" w:rsidRPr="005B5D95" w:rsidRDefault="5ABDCCF0" w:rsidP="5ABDCCF0">
            <w:pPr>
              <w:spacing w:after="0" w:line="240" w:lineRule="auto"/>
              <w:ind w:right="40"/>
              <w:jc w:val="left"/>
              <w:rPr>
                <w:color w:val="000000" w:themeColor="text1"/>
                <w:sz w:val="20"/>
                <w:szCs w:val="20"/>
              </w:rPr>
            </w:pPr>
          </w:p>
          <w:p w14:paraId="771ECCED" w14:textId="2CE7017D" w:rsidR="00E0299B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nomeInterveniente</w:t>
            </w:r>
            <w:proofErr w:type="spellEnd"/>
            <w:proofErr w:type="gramEnd"/>
          </w:p>
          <w:p w14:paraId="27DB1322" w14:textId="77777777" w:rsidR="00E0299B" w:rsidRPr="008F0C15" w:rsidRDefault="00E0299B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1D2D26C" w14:textId="5744709D" w:rsidR="2E18C27D" w:rsidRDefault="5ABDCCF0" w:rsidP="5ABDCCF0">
            <w:pPr>
              <w:spacing w:after="0" w:line="240" w:lineRule="auto"/>
              <w:ind w:right="40"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BDCCF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INTERVENIENTE ANUENTE</w:t>
            </w:r>
          </w:p>
          <w:p w14:paraId="6F51EED4" w14:textId="62A41001" w:rsidR="2E18C27D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55C7198" w14:textId="3B66E040" w:rsidR="2E18C27D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6662819" w14:textId="37031009" w:rsidR="5ABDCCF0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CB02FF8" w14:textId="3B1FB5BB" w:rsidR="5ABDCCF0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Testemunhas</w:t>
            </w:r>
          </w:p>
          <w:p w14:paraId="0746E682" w14:textId="60A5EE20" w:rsidR="0030344A" w:rsidRPr="008F0C15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 xml:space="preserve">_____________________________________ </w:t>
            </w:r>
          </w:p>
        </w:tc>
        <w:tc>
          <w:tcPr>
            <w:tcW w:w="5002" w:type="dxa"/>
            <w:vAlign w:val="bottom"/>
          </w:tcPr>
          <w:p w14:paraId="01515310" w14:textId="1AC1EA28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D7CAAC1" w14:textId="53CE787F" w:rsidR="5ABDCCF0" w:rsidRDefault="5ABDCCF0" w:rsidP="5ABDCCF0">
            <w:pPr>
              <w:spacing w:after="0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ABDCCF0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n-PH"/>
              </w:rPr>
              <w:t>_a</w:t>
            </w:r>
          </w:p>
          <w:p w14:paraId="4349B1A0" w14:textId="5B60ECB6" w:rsidR="11C9AE69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nomeAvalista</w:t>
            </w:r>
            <w:proofErr w:type="spellEnd"/>
            <w:proofErr w:type="gramEnd"/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 </w:t>
            </w:r>
          </w:p>
          <w:p w14:paraId="1DC29C4A" w14:textId="39AAA6E1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568B199" w14:textId="7F7016CC" w:rsidR="11C9AE69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AVALISTA</w:t>
            </w:r>
          </w:p>
          <w:p w14:paraId="5B265E7E" w14:textId="484A5531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9357B41" w14:textId="26979A26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7BFD626" w14:textId="4C14D8D2" w:rsidR="2E18C27D" w:rsidRDefault="2E18C27D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EFE4280" w14:textId="7CD72D7D" w:rsidR="5ABDCCF0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E8BD083" w14:textId="0D74E709" w:rsidR="5ABDCCF0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605C625" w14:textId="2C6FCBA2" w:rsidR="0030344A" w:rsidRPr="008F0C15" w:rsidRDefault="5ABDCCF0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___________________________________</w:t>
            </w:r>
          </w:p>
        </w:tc>
      </w:tr>
      <w:tr w:rsidR="0030344A" w:rsidRPr="008F0C15" w14:paraId="2D99CA25" w14:textId="77777777" w:rsidTr="5ABDCCF0">
        <w:trPr>
          <w:trHeight w:val="293"/>
        </w:trPr>
        <w:tc>
          <w:tcPr>
            <w:tcW w:w="4485" w:type="dxa"/>
          </w:tcPr>
          <w:p w14:paraId="219AB86D" w14:textId="5BB57CF6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Nome:  nomeTestemunha1</w:t>
            </w:r>
          </w:p>
        </w:tc>
        <w:tc>
          <w:tcPr>
            <w:tcW w:w="5002" w:type="dxa"/>
          </w:tcPr>
          <w:p w14:paraId="47A204AA" w14:textId="47189F60" w:rsidR="0030344A" w:rsidRPr="008F0C15" w:rsidRDefault="2E18C27D" w:rsidP="2E18C27D">
            <w:pPr>
              <w:spacing w:after="0" w:line="240" w:lineRule="auto"/>
              <w:ind w:left="1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Nome:  nomeTestemunha2</w:t>
            </w:r>
          </w:p>
        </w:tc>
      </w:tr>
      <w:tr w:rsidR="0030344A" w:rsidRPr="008F0C15" w14:paraId="7D5B508E" w14:textId="77777777" w:rsidTr="5ABDCCF0">
        <w:trPr>
          <w:trHeight w:val="293"/>
        </w:trPr>
        <w:tc>
          <w:tcPr>
            <w:tcW w:w="4485" w:type="dxa"/>
          </w:tcPr>
          <w:p w14:paraId="7FECC5DA" w14:textId="72F1BB0C" w:rsidR="0030344A" w:rsidRPr="008F0C15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RG:  </w:t>
            </w:r>
            <w:r w:rsidR="0086433E">
              <w:tab/>
            </w: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 rgTestemunha1</w:t>
            </w:r>
          </w:p>
        </w:tc>
        <w:tc>
          <w:tcPr>
            <w:tcW w:w="5002" w:type="dxa"/>
          </w:tcPr>
          <w:p w14:paraId="396F4949" w14:textId="06658FCF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RG:  rgTestemunha2</w:t>
            </w:r>
          </w:p>
        </w:tc>
      </w:tr>
      <w:tr w:rsidR="0030344A" w:rsidRPr="008F0C15" w14:paraId="0C946B63" w14:textId="77777777" w:rsidTr="5ABDCCF0">
        <w:trPr>
          <w:trHeight w:val="269"/>
        </w:trPr>
        <w:tc>
          <w:tcPr>
            <w:tcW w:w="4485" w:type="dxa"/>
          </w:tcPr>
          <w:p w14:paraId="332E4C07" w14:textId="42D49B05" w:rsidR="0030344A" w:rsidRPr="008F0C15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CPF:  </w:t>
            </w:r>
            <w:r w:rsidR="0086433E">
              <w:tab/>
            </w: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 cpfTestemunha1</w:t>
            </w:r>
          </w:p>
        </w:tc>
        <w:tc>
          <w:tcPr>
            <w:tcW w:w="5002" w:type="dxa"/>
          </w:tcPr>
          <w:p w14:paraId="12276683" w14:textId="6D1B8679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BB49E84" w:rsidR="002C04F3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3223E4" w14:textId="2D97B81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07D6700" w14:textId="55E54A6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8637435" w14:textId="7A6DF097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6B3BACD" w14:textId="181244A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E1AADE" w14:textId="5F64D074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99DC8C2" w14:textId="752B936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3C33AA7" w14:textId="13ADD6F0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1B667E" w14:textId="2937B72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97B3D85" w14:textId="67F4010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6D8C1CA" w14:textId="148F1E1B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1829C5E" w14:textId="1AB5A295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52AFF34" w14:textId="77777777" w:rsidR="00080A68" w:rsidRPr="008F0C15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0086433E" w:rsidP="002C04F3">
      <w:pPr>
        <w:spacing w:after="0" w:line="240" w:lineRule="auto"/>
        <w:ind w:right="624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PLANILHA DE CÁLCULO</w:t>
      </w:r>
      <w:r w:rsidRPr="005948B3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30344A" w:rsidRPr="005948B3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06888" w14:textId="77777777" w:rsidR="00CD397A" w:rsidRDefault="00CD397A">
      <w:pPr>
        <w:spacing w:after="0" w:line="240" w:lineRule="auto"/>
      </w:pPr>
      <w:r>
        <w:separator/>
      </w:r>
    </w:p>
  </w:endnote>
  <w:endnote w:type="continuationSeparator" w:id="0">
    <w:p w14:paraId="414A4AF6" w14:textId="77777777" w:rsidR="00CD397A" w:rsidRDefault="00C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proofErr w:type="gramStart"/>
    <w:r w:rsidRPr="007672F2">
      <w:rPr>
        <w:color w:val="0000FF"/>
        <w:sz w:val="20"/>
        <w:szCs w:val="20"/>
      </w:rPr>
      <w:t>pág</w:t>
    </w:r>
    <w:proofErr w:type="gramEnd"/>
    <w:r w:rsidRPr="007672F2">
      <w:rPr>
        <w:color w:val="0000FF"/>
        <w:sz w:val="20"/>
        <w:szCs w:val="20"/>
      </w:rPr>
      <w:t xml:space="preserve">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A5518D">
      <w:rPr>
        <w:noProof/>
        <w:color w:val="0000FF"/>
        <w:sz w:val="20"/>
        <w:szCs w:val="20"/>
      </w:rPr>
      <w:t>15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1751B" w14:textId="77777777" w:rsidR="00CD397A" w:rsidRDefault="00CD397A">
      <w:pPr>
        <w:spacing w:after="0" w:line="240" w:lineRule="auto"/>
      </w:pPr>
      <w:r>
        <w:separator/>
      </w:r>
    </w:p>
  </w:footnote>
  <w:footnote w:type="continuationSeparator" w:id="0">
    <w:p w14:paraId="5A934290" w14:textId="77777777" w:rsidR="00CD397A" w:rsidRDefault="00C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3A96B87F" wp14:editId="67348BFD">
          <wp:extent cx="1729154" cy="933510"/>
          <wp:effectExtent l="0" t="0" r="444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922" cy="952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E41ED21E"/>
    <w:lvl w:ilvl="0" w:tplc="6F3CC04A">
      <w:start w:val="1"/>
      <w:numFmt w:val="lowerLetter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BB08D31C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CC4051B6"/>
    <w:lvl w:ilvl="0" w:tplc="4B789B7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12905"/>
    <w:rsid w:val="00063C35"/>
    <w:rsid w:val="00071E98"/>
    <w:rsid w:val="00080A68"/>
    <w:rsid w:val="000836BD"/>
    <w:rsid w:val="00084EE0"/>
    <w:rsid w:val="000A7785"/>
    <w:rsid w:val="000B0D5E"/>
    <w:rsid w:val="0012088B"/>
    <w:rsid w:val="001335F2"/>
    <w:rsid w:val="00154FE2"/>
    <w:rsid w:val="00186328"/>
    <w:rsid w:val="001C47B0"/>
    <w:rsid w:val="001C7BE5"/>
    <w:rsid w:val="00221E81"/>
    <w:rsid w:val="00245028"/>
    <w:rsid w:val="00251164"/>
    <w:rsid w:val="002666DA"/>
    <w:rsid w:val="0027173C"/>
    <w:rsid w:val="00287F6F"/>
    <w:rsid w:val="002A3623"/>
    <w:rsid w:val="002C04F3"/>
    <w:rsid w:val="002C48FF"/>
    <w:rsid w:val="002C49D0"/>
    <w:rsid w:val="002E4490"/>
    <w:rsid w:val="0030344A"/>
    <w:rsid w:val="00305041"/>
    <w:rsid w:val="00354D3C"/>
    <w:rsid w:val="00371200"/>
    <w:rsid w:val="003756E9"/>
    <w:rsid w:val="00380793"/>
    <w:rsid w:val="00381CEC"/>
    <w:rsid w:val="003A6F2F"/>
    <w:rsid w:val="00412059"/>
    <w:rsid w:val="004366BF"/>
    <w:rsid w:val="004404ED"/>
    <w:rsid w:val="00476044"/>
    <w:rsid w:val="004A7F1A"/>
    <w:rsid w:val="004C183A"/>
    <w:rsid w:val="004C53EA"/>
    <w:rsid w:val="004E2D9B"/>
    <w:rsid w:val="00520CAD"/>
    <w:rsid w:val="00530CA2"/>
    <w:rsid w:val="00541D62"/>
    <w:rsid w:val="005518C7"/>
    <w:rsid w:val="00591C31"/>
    <w:rsid w:val="00594030"/>
    <w:rsid w:val="005948B3"/>
    <w:rsid w:val="005A27B3"/>
    <w:rsid w:val="005B3277"/>
    <w:rsid w:val="005B3E2C"/>
    <w:rsid w:val="005B5D95"/>
    <w:rsid w:val="005E6131"/>
    <w:rsid w:val="005F1823"/>
    <w:rsid w:val="00613F41"/>
    <w:rsid w:val="00615DAC"/>
    <w:rsid w:val="00662F14"/>
    <w:rsid w:val="00663C4A"/>
    <w:rsid w:val="00677784"/>
    <w:rsid w:val="006820C6"/>
    <w:rsid w:val="006875BD"/>
    <w:rsid w:val="006906FC"/>
    <w:rsid w:val="006A0E45"/>
    <w:rsid w:val="006A2F3C"/>
    <w:rsid w:val="006B6F7A"/>
    <w:rsid w:val="006C696D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5D8A"/>
    <w:rsid w:val="008335E5"/>
    <w:rsid w:val="00846488"/>
    <w:rsid w:val="00861171"/>
    <w:rsid w:val="0086433E"/>
    <w:rsid w:val="008905EA"/>
    <w:rsid w:val="008F0C15"/>
    <w:rsid w:val="008F6353"/>
    <w:rsid w:val="00927924"/>
    <w:rsid w:val="0099501B"/>
    <w:rsid w:val="009C64A8"/>
    <w:rsid w:val="00A048CB"/>
    <w:rsid w:val="00A27DB9"/>
    <w:rsid w:val="00A5518D"/>
    <w:rsid w:val="00A7197F"/>
    <w:rsid w:val="00A73282"/>
    <w:rsid w:val="00A81839"/>
    <w:rsid w:val="00AC609F"/>
    <w:rsid w:val="00B83304"/>
    <w:rsid w:val="00B915DC"/>
    <w:rsid w:val="00BE069C"/>
    <w:rsid w:val="00C03FD9"/>
    <w:rsid w:val="00C108E5"/>
    <w:rsid w:val="00C67906"/>
    <w:rsid w:val="00C74899"/>
    <w:rsid w:val="00C93217"/>
    <w:rsid w:val="00C94A0E"/>
    <w:rsid w:val="00CB4F0E"/>
    <w:rsid w:val="00CC20F4"/>
    <w:rsid w:val="00CD397A"/>
    <w:rsid w:val="00CF04F2"/>
    <w:rsid w:val="00D3599D"/>
    <w:rsid w:val="00D65E57"/>
    <w:rsid w:val="00D763C1"/>
    <w:rsid w:val="00DC6DB3"/>
    <w:rsid w:val="00DE405B"/>
    <w:rsid w:val="00E0299B"/>
    <w:rsid w:val="00E50F17"/>
    <w:rsid w:val="00E617B5"/>
    <w:rsid w:val="00E918E2"/>
    <w:rsid w:val="00ED5C42"/>
    <w:rsid w:val="00F02380"/>
    <w:rsid w:val="00F07B5F"/>
    <w:rsid w:val="00F26621"/>
    <w:rsid w:val="00F34AA1"/>
    <w:rsid w:val="11C9AE69"/>
    <w:rsid w:val="2E18C27D"/>
    <w:rsid w:val="3B2552B0"/>
    <w:rsid w:val="4AECF8AB"/>
    <w:rsid w:val="4D1FCB4A"/>
    <w:rsid w:val="560C9094"/>
    <w:rsid w:val="5ABDCCF0"/>
    <w:rsid w:val="741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8B4E-F4BB-4CBE-8891-B0168D8B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6006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EMITENTE</vt:lpstr>
    </vt:vector>
  </TitlesOfParts>
  <Company/>
  <LinksUpToDate>false</LinksUpToDate>
  <CharactersWithSpaces>38365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EMITENTE</dc:title>
  <dc:subject/>
  <dc:creator>manolo.lisboa</dc:creator>
  <cp:keywords/>
  <cp:lastModifiedBy>Usuario</cp:lastModifiedBy>
  <cp:revision>3</cp:revision>
  <cp:lastPrinted>2021-08-25T04:25:00Z</cp:lastPrinted>
  <dcterms:created xsi:type="dcterms:W3CDTF">2022-01-21T12:38:00Z</dcterms:created>
  <dcterms:modified xsi:type="dcterms:W3CDTF">2022-02-17T12:54:00Z</dcterms:modified>
</cp:coreProperties>
</file>