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149A2564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 xml:space="preserve">CEDENTE: </w:t>
      </w:r>
      <w:r w:rsidRPr="00EF2AD7">
        <w:rPr>
          <w:rFonts w:ascii="Calibri" w:hAnsi="Calibri" w:cs="Calibri"/>
          <w:b/>
          <w:sz w:val="22"/>
          <w:szCs w:val="22"/>
        </w:rPr>
        <w:t xml:space="preserve">BMP MONEY PLUS SOCIEDADE DE CRÉDITO DIRETO S.A., </w:t>
      </w:r>
      <w:r w:rsidRPr="00EF2AD7">
        <w:rPr>
          <w:rFonts w:ascii="Calibri" w:hAnsi="Calibri" w:cs="Calibri"/>
          <w:sz w:val="22"/>
          <w:szCs w:val="22"/>
        </w:rPr>
        <w:t>instituição financeira, inscrita no CNPJ/MF sob nº 34.337.707/0001-00, com sede na Av. Paulista, 1765, 1º Andar, CEP 01311-200, São Paulo, SP, neste ato, representada na forma do seu Estatuto Social</w:t>
      </w:r>
      <w:r w:rsidRPr="0000507B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70BA9D55" w:rsidR="005967EE" w:rsidRPr="0081487A" w:rsidRDefault="005967EE" w:rsidP="00355C96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bookmarkStart w:id="0" w:name="_GoBack"/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bookmarkEnd w:id="0"/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="006F0610">
        <w:rPr>
          <w:rFonts w:cs="Calibri"/>
        </w:rPr>
        <w:t xml:space="preserve"> nº</w:t>
      </w:r>
      <w:r w:rsidR="006E471E">
        <w:rPr>
          <w:rFonts w:cs="Calibri"/>
        </w:rPr>
        <w:t xml:space="preserve"> </w:t>
      </w:r>
      <w:proofErr w:type="spellStart"/>
      <w:r w:rsidR="00355C96" w:rsidRPr="00355C96">
        <w:rPr>
          <w:rFonts w:cs="Calibri"/>
        </w:rPr>
        <w:t>numeroCCI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0E98FF9D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 xml:space="preserve">CESSIONÁRIO tem interesse em adquirir 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03A1D842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1C6E3541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413F4B49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 xml:space="preserve">) Imóvel(eis) indicado no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CED75E8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proofErr w:type="gram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</w:t>
      </w:r>
      <w:proofErr w:type="gramEnd"/>
      <w:r w:rsid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50D8F5F8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5ECCEB0A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</w:t>
      </w:r>
      <w:r w:rsidR="00355C96">
        <w:rPr>
          <w:rFonts w:cs="Calibri"/>
        </w:rPr>
        <w:t>CCI</w:t>
      </w:r>
      <w:r>
        <w:rPr>
          <w:rFonts w:cs="Calibri"/>
        </w:rPr>
        <w:t xml:space="preserve">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>a comarca de São Paulo/SP.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23135066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</w:t>
      </w:r>
      <w:r w:rsidR="00355C96">
        <w:rPr>
          <w:rFonts w:cs="Calibri"/>
        </w:rPr>
        <w:t>CCI</w:t>
      </w:r>
      <w:r>
        <w:rPr>
          <w:rFonts w:cs="Calibri"/>
        </w:rPr>
        <w:t xml:space="preserve">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1C76DAD5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1F6D051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compor e renegociar dívidas, ou outro ajuste qualquer que implique no recebimento de valores originados pelos créditos objeto desta cessão de forma diversa da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5F4BE325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 a responsabilidade de liquidar e efetuar movimentações em relação à </w:t>
      </w:r>
      <w:r w:rsidR="00355C96">
        <w:rPr>
          <w:rFonts w:cs="Calibri"/>
        </w:rPr>
        <w:t>CCI</w:t>
      </w:r>
      <w:r w:rsidRPr="0000507B">
        <w:rPr>
          <w:rFonts w:cs="Calibri"/>
        </w:rPr>
        <w:t>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66DB8F2E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A custódia física da </w:t>
      </w:r>
      <w:r w:rsidR="00355C96">
        <w:rPr>
          <w:rFonts w:cs="Calibri"/>
        </w:rPr>
        <w:t>CCI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0DC01D1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53843CC2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280DBD86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19E536E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56B3E2E0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Pr="0000507B">
        <w:rPr>
          <w:rFonts w:cs="Calibri"/>
        </w:rPr>
        <w:t>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5DD081D1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 xml:space="preserve">seu bastante procurador, outorgando-lhe amplos e gerais poderes para a finalidade específica de efetuar a transferência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Fica eleito o foro da cidade de São Paulo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06E1BCD1" w:rsidR="005967EE" w:rsidRPr="005F73A0" w:rsidRDefault="002721E0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2721E0">
        <w:rPr>
          <w:rFonts w:cs="Calibri"/>
        </w:rPr>
        <w:t>São Paulo,</w:t>
      </w:r>
      <w:r>
        <w:rPr>
          <w:rFonts w:cs="Calibri"/>
        </w:rPr>
        <w:t xml:space="preserve"> SP,</w:t>
      </w:r>
      <w:r w:rsidRPr="002721E0">
        <w:rPr>
          <w:rFonts w:cs="Calibri"/>
        </w:rPr>
        <w:t xml:space="preserve"> </w:t>
      </w:r>
      <w:proofErr w:type="spellStart"/>
      <w:r w:rsidRPr="002721E0">
        <w:rPr>
          <w:rFonts w:cs="Calibri"/>
        </w:rPr>
        <w:t>emissaoDia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emissaoMes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emissaoAno</w:t>
      </w:r>
      <w:proofErr w:type="spellEnd"/>
      <w:r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77777777" w:rsidR="005967EE" w:rsidRPr="002721E0" w:rsidRDefault="005967EE" w:rsidP="003F639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BMP MONEY PLUS SOCIEDADE DE CRÉDITO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lastRenderedPageBreak/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5967EE">
      <w:headerReference w:type="default" r:id="rId10"/>
      <w:footerReference w:type="default" r:id="rId11"/>
      <w:type w:val="continuous"/>
      <w:pgSz w:w="11905" w:h="16837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E0119" w14:textId="77777777" w:rsidR="007E58EA" w:rsidRDefault="007E58EA" w:rsidP="00A21C9E">
      <w:r>
        <w:separator/>
      </w:r>
    </w:p>
  </w:endnote>
  <w:endnote w:type="continuationSeparator" w:id="0">
    <w:p w14:paraId="0430F86E" w14:textId="77777777" w:rsidR="007E58EA" w:rsidRDefault="007E58EA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355C96">
      <w:rPr>
        <w:rFonts w:ascii="Arial" w:hAnsi="Arial" w:cs="Arial"/>
        <w:noProof/>
        <w:sz w:val="20"/>
        <w:szCs w:val="20"/>
      </w:rPr>
      <w:t>6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DB787" w14:textId="77777777" w:rsidR="007E58EA" w:rsidRDefault="007E58EA" w:rsidP="00A21C9E">
      <w:r>
        <w:separator/>
      </w:r>
    </w:p>
  </w:footnote>
  <w:footnote w:type="continuationSeparator" w:id="0">
    <w:p w14:paraId="44A0DEE5" w14:textId="77777777" w:rsidR="007E58EA" w:rsidRDefault="007E58EA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09041" w14:textId="3AE8F26F" w:rsidR="00B66DDC" w:rsidRDefault="005967EE" w:rsidP="004139C9">
    <w:pPr>
      <w:pStyle w:val="Cabealho"/>
    </w:pPr>
    <w:bookmarkStart w:id="1" w:name="_MacBuGuideStaticData_10773V"/>
    <w:bookmarkStart w:id="2" w:name="_MacBuGuideStaticData_1560H"/>
    <w:bookmarkStart w:id="3" w:name="_MacBuGuideStaticData_1413V"/>
    <w:r w:rsidRPr="001637D8">
      <w:rPr>
        <w:noProof/>
        <w:lang w:eastAsia="pt-BR"/>
      </w:rPr>
      <w:drawing>
        <wp:inline distT="0" distB="0" distL="0" distR="0" wp14:anchorId="24548275" wp14:editId="64A57791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6DDC" w:rsidRPr="004139C9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1"/>
  <w:bookmarkEnd w:id="2"/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5C96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53767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7E58EA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42867-D15D-4C5A-8165-C3412910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1901</Words>
  <Characters>10268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7</cp:revision>
  <cp:lastPrinted>2022-02-03T12:07:00Z</cp:lastPrinted>
  <dcterms:created xsi:type="dcterms:W3CDTF">2022-08-04T12:27:00Z</dcterms:created>
  <dcterms:modified xsi:type="dcterms:W3CDTF">2022-08-30T12:11:00Z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