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14:paraId="16BBBFA5"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F56944" w14:paraId="5C966FE6" w14:textId="77777777" w:rsidTr="00F56944">
        <w:trPr>
          <w:trHeight w:val="738"/>
        </w:trPr>
        <w:tc>
          <w:tcPr>
            <w:tcW w:w="9629" w:type="dxa"/>
            <w:gridSpan w:val="2"/>
            <w:tcBorders>
              <w:top w:val="nil"/>
              <w:left w:val="single" w:sz="4" w:space="0" w:color="auto"/>
              <w:right w:val="single" w:sz="4" w:space="0" w:color="auto"/>
            </w:tcBorders>
            <w:shd w:val="clear" w:color="auto" w:fill="auto"/>
            <w:noWrap/>
            <w:vAlign w:val="center"/>
            <w:hideMark/>
          </w:tcPr>
          <w:p w14:paraId="7BB151A7" w14:textId="4FCDCCDC" w:rsidR="00F56944" w:rsidRPr="00F56944" w:rsidRDefault="00F56944" w:rsidP="00F56944">
            <w:pPr>
              <w:pStyle w:val="PargrafodaLista"/>
              <w:numPr>
                <w:ilvl w:val="0"/>
                <w:numId w:val="23"/>
              </w:numPr>
              <w:ind w:left="0" w:firstLine="0"/>
              <w:rPr>
                <w:rFonts w:asciiTheme="minorHAnsi" w:hAnsiTheme="minorHAnsi" w:cstheme="minorHAnsi"/>
                <w:color w:val="000000"/>
              </w:rPr>
            </w:pPr>
            <w:r w:rsidRPr="00F56944">
              <w:rPr>
                <w:rFonts w:asciiTheme="minorHAnsi" w:hAnsiTheme="minorHAnsi" w:cstheme="minorHAnsi"/>
                <w:b/>
              </w:rPr>
              <w:t xml:space="preserve"> BMP SOCIEDADE DE CRÉDITO DIRETO S. A</w:t>
            </w:r>
            <w:r w:rsidRPr="00F56944">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F56944">
              <w:rPr>
                <w:rFonts w:asciiTheme="minorHAnsi" w:hAnsiTheme="minorHAnsi" w:cstheme="minorHAnsi"/>
                <w:b/>
              </w:rPr>
              <w:t>CARLOS EDUARDO BENITEZ</w:t>
            </w:r>
            <w:r w:rsidRPr="00F56944">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F56944">
              <w:rPr>
                <w:rFonts w:asciiTheme="minorHAnsi" w:hAnsiTheme="minorHAnsi" w:cstheme="minorHAnsi"/>
                <w:b/>
              </w:rPr>
              <w:t>DANIEL CARLOS CESARINO</w:t>
            </w:r>
            <w:r w:rsidRPr="00F56944">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F56944" w14:paraId="06F843CB"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F56944" w:rsidRDefault="00F56944" w:rsidP="00F56944">
            <w:pPr>
              <w:jc w:val="center"/>
              <w:rPr>
                <w:rFonts w:ascii="Calibri" w:hAnsi="Calibri"/>
                <w:b/>
                <w:bCs/>
                <w:color w:val="000000"/>
              </w:rPr>
            </w:pPr>
            <w:r>
              <w:rPr>
                <w:rFonts w:ascii="Calibri" w:hAnsi="Calibri"/>
                <w:b/>
                <w:bCs/>
                <w:color w:val="000000"/>
              </w:rPr>
              <w:t>2 - DEVEDORES FIDUCIANTES</w:t>
            </w:r>
          </w:p>
        </w:tc>
      </w:tr>
      <w:tr w:rsidR="00F56944"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56944" w:rsidRPr="003F726F" w:rsidRDefault="00F56944" w:rsidP="00F56944">
            <w:pPr>
              <w:rPr>
                <w:rFonts w:ascii="Calibri" w:hAnsi="Calibri"/>
              </w:rPr>
            </w:pPr>
          </w:p>
        </w:tc>
      </w:tr>
      <w:tr w:rsidR="00F56944"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F56944" w:rsidRDefault="00F56944" w:rsidP="00F56944">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F56944"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F56944" w:rsidRDefault="00F56944" w:rsidP="00F56944">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F56944" w14:paraId="7A703363"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F56944" w:rsidRDefault="00F56944" w:rsidP="00F56944">
            <w:pPr>
              <w:jc w:val="center"/>
              <w:rPr>
                <w:rFonts w:ascii="Calibri" w:hAnsi="Calibri"/>
                <w:b/>
                <w:bCs/>
                <w:color w:val="000000"/>
              </w:rPr>
            </w:pPr>
            <w:r>
              <w:rPr>
                <w:rFonts w:ascii="Calibri" w:hAnsi="Calibri"/>
                <w:b/>
                <w:bCs/>
                <w:color w:val="000000"/>
              </w:rPr>
              <w:t>3 - VALOR DO EMPRÉSTIMO</w:t>
            </w:r>
          </w:p>
        </w:tc>
      </w:tr>
      <w:tr w:rsidR="00F56944"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F56944" w:rsidRDefault="00F56944" w:rsidP="00F56944">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ExtensoValorCredito</w:t>
            </w:r>
            <w:proofErr w:type="spellEnd"/>
            <w:r w:rsidRPr="00F64D68">
              <w:rPr>
                <w:rFonts w:ascii="Calibri" w:hAnsi="Calibri"/>
                <w:color w:val="000000"/>
                <w:sz w:val="22"/>
                <w:szCs w:val="22"/>
              </w:rPr>
              <w:t>)</w:t>
            </w:r>
          </w:p>
        </w:tc>
      </w:tr>
      <w:tr w:rsidR="00F56944"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F56944" w:rsidRDefault="00F56944" w:rsidP="00F56944">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ExtensoValorLiquidoCredito</w:t>
            </w:r>
            <w:proofErr w:type="spellEnd"/>
            <w:r w:rsidRPr="00F64D68">
              <w:rPr>
                <w:rFonts w:ascii="Calibri" w:hAnsi="Calibri"/>
                <w:color w:val="000000"/>
                <w:sz w:val="22"/>
                <w:szCs w:val="22"/>
              </w:rPr>
              <w:t>)</w:t>
            </w:r>
          </w:p>
        </w:tc>
      </w:tr>
      <w:tr w:rsidR="00F56944"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F56944" w:rsidRDefault="00F56944" w:rsidP="00F56944">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ExtensoCustoEmissao</w:t>
            </w:r>
            <w:proofErr w:type="spellEnd"/>
            <w:r w:rsidRPr="00F64D68">
              <w:rPr>
                <w:rFonts w:ascii="Calibri" w:hAnsi="Calibri"/>
                <w:color w:val="000000"/>
                <w:sz w:val="22"/>
                <w:szCs w:val="22"/>
              </w:rPr>
              <w:t>)</w:t>
            </w:r>
          </w:p>
        </w:tc>
      </w:tr>
      <w:tr w:rsidR="00F56944"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F56944" w:rsidRDefault="00F56944" w:rsidP="00F56944">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ExtensoValorIOF</w:t>
            </w:r>
            <w:proofErr w:type="spellEnd"/>
            <w:r w:rsidRPr="00F64D68">
              <w:rPr>
                <w:rFonts w:ascii="Calibri" w:hAnsi="Calibri"/>
                <w:color w:val="000000"/>
                <w:sz w:val="22"/>
                <w:szCs w:val="22"/>
              </w:rPr>
              <w:t>)</w:t>
            </w:r>
          </w:p>
        </w:tc>
      </w:tr>
      <w:tr w:rsidR="00F56944"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F56944" w:rsidRDefault="00F56944" w:rsidP="00F56944">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ExtensoValorDespesas</w:t>
            </w:r>
            <w:proofErr w:type="spellEnd"/>
            <w:r w:rsidRPr="00F64D68">
              <w:rPr>
                <w:rFonts w:ascii="Calibri" w:hAnsi="Calibri"/>
                <w:color w:val="000000"/>
                <w:sz w:val="22"/>
                <w:szCs w:val="22"/>
              </w:rPr>
              <w:t>)</w:t>
            </w:r>
          </w:p>
        </w:tc>
      </w:tr>
      <w:tr w:rsidR="00F56944"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F56944" w:rsidRDefault="00F56944" w:rsidP="00F56944">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F56944" w:rsidRDefault="00F56944" w:rsidP="00F56944">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F56944"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F56944" w:rsidRDefault="00F56944" w:rsidP="00F56944">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F56944"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F56944" w:rsidRDefault="00F56944" w:rsidP="00F56944">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F56944" w:rsidRDefault="00F56944" w:rsidP="00F56944">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F56944"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F56944" w:rsidRDefault="00F56944" w:rsidP="00F56944">
            <w:pPr>
              <w:rPr>
                <w:rFonts w:ascii="Calibri" w:hAnsi="Calibri"/>
                <w:color w:val="000000"/>
              </w:rPr>
            </w:pPr>
            <w:r>
              <w:rPr>
                <w:rFonts w:ascii="Calibri" w:hAnsi="Calibri"/>
                <w:color w:val="000000"/>
              </w:rPr>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F56944" w:rsidRDefault="00F56944" w:rsidP="00F56944">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F56944"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F56944" w:rsidRDefault="00F56944" w:rsidP="00F56944">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F56944"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F56944" w:rsidRDefault="00F56944" w:rsidP="00F56944">
            <w:pPr>
              <w:rPr>
                <w:rFonts w:ascii="Calibri" w:hAnsi="Calibri"/>
                <w:color w:val="000000"/>
              </w:rPr>
            </w:pPr>
            <w:r>
              <w:rPr>
                <w:rFonts w:ascii="Calibri" w:hAnsi="Calibri"/>
                <w:color w:val="000000"/>
              </w:rPr>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F56944"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F56944" w:rsidRDefault="00F56944" w:rsidP="00F56944">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F56944" w14:paraId="5FB66812"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F56944" w:rsidRDefault="00F56944" w:rsidP="00F56944">
            <w:pPr>
              <w:jc w:val="center"/>
              <w:rPr>
                <w:rFonts w:ascii="Calibri" w:hAnsi="Calibri"/>
                <w:b/>
                <w:bCs/>
                <w:color w:val="000000"/>
              </w:rPr>
            </w:pPr>
            <w:r>
              <w:rPr>
                <w:rFonts w:ascii="Calibri" w:hAnsi="Calibri"/>
                <w:b/>
                <w:bCs/>
                <w:color w:val="000000"/>
              </w:rPr>
              <w:t>4 - FORMA DE PAGAMENTO DO CRÉDITO</w:t>
            </w:r>
          </w:p>
        </w:tc>
      </w:tr>
      <w:tr w:rsidR="00F56944"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F56944" w:rsidRDefault="00F56944" w:rsidP="00F56944">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F56944"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F56944" w:rsidRDefault="00F56944" w:rsidP="00F56944">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F56944"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F56944" w:rsidRDefault="00F56944" w:rsidP="00F56944">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F56944"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F56944" w:rsidRDefault="00F56944" w:rsidP="00F56944">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F56944"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F56944" w:rsidRDefault="00F56944" w:rsidP="00F56944">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F56944" w14:paraId="07D9B699"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F56944" w:rsidRDefault="00F56944" w:rsidP="00F56944">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bottom"/>
            <w:hideMark/>
          </w:tcPr>
          <w:p w14:paraId="2DED68C9" w14:textId="1FF8B2AD" w:rsidR="00F56944" w:rsidRDefault="00F56944" w:rsidP="00F56944">
            <w:pPr>
              <w:rPr>
                <w:rFonts w:ascii="Calibri" w:hAnsi="Calibri"/>
                <w:color w:val="000000"/>
                <w:sz w:val="22"/>
                <w:szCs w:val="22"/>
              </w:rPr>
            </w:pPr>
            <w:r>
              <w:rPr>
                <w:rFonts w:ascii="Calibri" w:hAnsi="Calibri"/>
                <w:color w:val="000000"/>
                <w:sz w:val="22"/>
                <w:szCs w:val="22"/>
              </w:rPr>
              <w:t xml:space="preserve">IPCA (IBGE) </w:t>
            </w:r>
            <w:r w:rsidRPr="00BF70B4">
              <w:rPr>
                <w:rFonts w:ascii="Calibri" w:hAnsi="Calibri"/>
                <w:color w:val="000000"/>
                <w:sz w:val="22"/>
                <w:szCs w:val="22"/>
              </w:rPr>
              <w:t>sobre o saldo devedor de forma mensal a ser cobrado junto com a parcela mensal.</w:t>
            </w:r>
          </w:p>
        </w:tc>
      </w:tr>
      <w:tr w:rsidR="00F56944"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F56944" w:rsidRDefault="00F56944" w:rsidP="00F56944">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F56944" w:rsidRDefault="00F56944" w:rsidP="00F56944">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F56944"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F56944" w:rsidRDefault="00F56944" w:rsidP="00F56944">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F56944"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F56944" w:rsidRDefault="00F56944" w:rsidP="00F56944">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F56944"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F56944" w:rsidRDefault="00F56944" w:rsidP="00F56944">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F56944"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F56944" w:rsidRDefault="00F56944" w:rsidP="00F56944">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F56944"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F56944" w:rsidRDefault="00F56944" w:rsidP="00F56944">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F56944"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F56944" w:rsidRDefault="00F56944" w:rsidP="00F56944">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F56944" w14:paraId="19674E1A"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F56944" w:rsidRDefault="00F56944" w:rsidP="00F56944">
            <w:pPr>
              <w:jc w:val="center"/>
              <w:rPr>
                <w:rFonts w:ascii="Calibri" w:hAnsi="Calibri"/>
                <w:b/>
                <w:bCs/>
                <w:color w:val="000000"/>
              </w:rPr>
            </w:pPr>
            <w:r>
              <w:rPr>
                <w:rFonts w:ascii="Calibri" w:hAnsi="Calibri"/>
                <w:b/>
                <w:bCs/>
                <w:color w:val="000000"/>
              </w:rPr>
              <w:t>5 - IMÓVEL OBJETO DA GARANTIA DE ALIENAÇÃO FIDUCIÁRIA</w:t>
            </w:r>
          </w:p>
        </w:tc>
      </w:tr>
      <w:tr w:rsidR="00F56944"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F56944" w:rsidRDefault="00F56944" w:rsidP="00F56944">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F56944" w:rsidRDefault="00F56944" w:rsidP="00F56944">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A8C2F16" w14:textId="3EF7134B" w:rsidR="00F56944" w:rsidRPr="00002200" w:rsidRDefault="00F56944" w:rsidP="00F56944">
            <w:pPr>
              <w:tabs>
                <w:tab w:val="left" w:pos="3420"/>
              </w:tabs>
              <w:rPr>
                <w:rFonts w:ascii="Calibri" w:hAnsi="Calibri"/>
                <w:sz w:val="22"/>
                <w:szCs w:val="22"/>
              </w:rPr>
            </w:pPr>
            <w:r>
              <w:rPr>
                <w:rFonts w:ascii="Calibri" w:hAnsi="Calibri"/>
                <w:sz w:val="22"/>
                <w:szCs w:val="22"/>
              </w:rPr>
              <w:tab/>
            </w:r>
          </w:p>
        </w:tc>
      </w:tr>
      <w:tr w:rsidR="00F56944"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F56944" w:rsidRDefault="00F56944" w:rsidP="00F56944">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F56944"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F56944" w:rsidRDefault="00F56944" w:rsidP="00F56944">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F56944"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F56944" w:rsidRDefault="00F56944" w:rsidP="00F56944">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F56944"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F56944" w:rsidRDefault="00F56944" w:rsidP="00F56944">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F56944" w14:paraId="216A5DA9"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F56944" w:rsidRDefault="00F56944" w:rsidP="00F56944">
            <w:pPr>
              <w:jc w:val="center"/>
              <w:rPr>
                <w:rFonts w:ascii="Calibri" w:hAnsi="Calibri"/>
                <w:b/>
                <w:bCs/>
                <w:color w:val="000000"/>
              </w:rPr>
            </w:pPr>
            <w:r>
              <w:rPr>
                <w:rFonts w:ascii="Calibri" w:hAnsi="Calibri"/>
                <w:b/>
                <w:bCs/>
                <w:color w:val="000000"/>
              </w:rPr>
              <w:t>6 - COMPOSIÇÃO FAMILIAR PARA FINS DE COBERTURA SECURITÁRIA</w:t>
            </w:r>
          </w:p>
        </w:tc>
      </w:tr>
      <w:tr w:rsidR="00F56944" w14:paraId="07CAF99E"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F56944" w:rsidRDefault="00F56944" w:rsidP="00F56944">
            <w:pPr>
              <w:jc w:val="center"/>
              <w:rPr>
                <w:rFonts w:ascii="Calibri" w:hAnsi="Calibri"/>
                <w:b/>
                <w:bCs/>
                <w:color w:val="000000"/>
              </w:rPr>
            </w:pPr>
            <w:r>
              <w:rPr>
                <w:rFonts w:ascii="Calibri" w:hAnsi="Calibri"/>
                <w:b/>
                <w:bCs/>
                <w:color w:val="000000"/>
              </w:rPr>
              <w:t>7 - CÉDULA DE CRÉDITO IMOBILIÁRIO - CCI</w:t>
            </w:r>
          </w:p>
        </w:tc>
      </w:tr>
      <w:tr w:rsidR="00F56944"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F56944" w:rsidRDefault="00F56944" w:rsidP="00F56944">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F56944" w:rsidRDefault="005E3226" w:rsidP="00F56944">
            <w:pPr>
              <w:rPr>
                <w:rFonts w:ascii="Calibri" w:hAnsi="Calibri"/>
                <w:color w:val="000000"/>
                <w:sz w:val="22"/>
                <w:szCs w:val="22"/>
              </w:rPr>
            </w:pPr>
            <w:bookmarkStart w:id="0" w:name="_GoBack"/>
            <w:bookmarkEnd w:id="0"/>
            <w:proofErr w:type="spellStart"/>
            <w:proofErr w:type="gramStart"/>
            <w:r w:rsidRPr="005E3226">
              <w:rPr>
                <w:rFonts w:ascii="Calibri" w:hAnsi="Calibri"/>
                <w:color w:val="000000"/>
                <w:sz w:val="22"/>
                <w:szCs w:val="22"/>
              </w:rPr>
              <w:t>serieCcb</w:t>
            </w:r>
            <w:proofErr w:type="spellEnd"/>
            <w:proofErr w:type="gramEnd"/>
          </w:p>
        </w:tc>
      </w:tr>
      <w:tr w:rsidR="00F56944"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F56944" w:rsidRDefault="00F56944" w:rsidP="00F56944">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F56944" w:rsidRDefault="00F56944" w:rsidP="00F56944">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F56944"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F56944" w:rsidRDefault="00F56944" w:rsidP="00F56944">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F56944"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F56944" w:rsidRDefault="00F56944" w:rsidP="00F56944">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F56944"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F56944" w:rsidRDefault="00F56944" w:rsidP="00F56944">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1 do QUADRO RESUMO.</w:t>
            </w:r>
          </w:p>
        </w:tc>
      </w:tr>
      <w:tr w:rsidR="00F56944"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F56944" w:rsidRDefault="00F56944" w:rsidP="00F56944">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2 do QUADRO RESUMO.</w:t>
            </w:r>
          </w:p>
        </w:tc>
      </w:tr>
      <w:tr w:rsidR="00F56944"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F56944" w:rsidRDefault="00F56944" w:rsidP="00F56944">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F56944"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F56944" w:rsidRDefault="00F56944" w:rsidP="00F56944">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F56944" w:rsidRDefault="00F56944" w:rsidP="00F56944">
            <w:pPr>
              <w:jc w:val="both"/>
              <w:rPr>
                <w:rFonts w:ascii="Calibri" w:hAnsi="Calibri"/>
                <w:color w:val="000000"/>
                <w:sz w:val="22"/>
                <w:szCs w:val="22"/>
              </w:rPr>
            </w:pPr>
            <w:r>
              <w:rPr>
                <w:rFonts w:ascii="Calibri" w:hAnsi="Calibri"/>
                <w:color w:val="000000"/>
                <w:sz w:val="22"/>
                <w:szCs w:val="22"/>
              </w:rPr>
              <w:t>Descrito no item 5 do QUADRO RESUMO.</w:t>
            </w:r>
          </w:p>
        </w:tc>
      </w:tr>
      <w:tr w:rsidR="00F56944"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F56944" w:rsidRDefault="00F56944" w:rsidP="00F56944">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F56944" w:rsidRDefault="00F56944" w:rsidP="00F56944">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F56944"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F56944" w:rsidRDefault="00F56944" w:rsidP="00F56944">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F56944"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41011453" w:rsidR="00F56944" w:rsidRDefault="00F56944" w:rsidP="00F56944">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F56944"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F56944" w:rsidRDefault="00F56944" w:rsidP="00F56944">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F56944"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4 do QUADRO RESUMO.</w:t>
            </w:r>
          </w:p>
        </w:tc>
      </w:tr>
      <w:tr w:rsidR="00F56944"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F56944" w:rsidRDefault="00F56944" w:rsidP="00F56944">
            <w:pPr>
              <w:jc w:val="both"/>
              <w:rPr>
                <w:rFonts w:ascii="Calibri" w:hAnsi="Calibri"/>
                <w:color w:val="000000"/>
                <w:sz w:val="22"/>
                <w:szCs w:val="22"/>
              </w:rPr>
            </w:pPr>
            <w:r>
              <w:rPr>
                <w:rFonts w:ascii="Calibri" w:hAnsi="Calibri"/>
                <w:color w:val="000000"/>
                <w:sz w:val="22"/>
                <w:szCs w:val="22"/>
              </w:rPr>
              <w:t>Mensal e Cumulativa.</w:t>
            </w:r>
          </w:p>
        </w:tc>
      </w:tr>
      <w:tr w:rsidR="00F56944"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F56944" w:rsidRDefault="00F56944" w:rsidP="00F56944">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F56944" w:rsidRDefault="00F56944" w:rsidP="00F56944">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F56944"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09114DE6" w:rsidR="00F56944" w:rsidRDefault="00F56944" w:rsidP="00F56944">
            <w:pPr>
              <w:jc w:val="both"/>
              <w:rPr>
                <w:rFonts w:ascii="Calibri" w:hAnsi="Calibri"/>
                <w:color w:val="000000"/>
                <w:sz w:val="22"/>
                <w:szCs w:val="22"/>
              </w:rPr>
            </w:pPr>
            <w:r>
              <w:rPr>
                <w:rFonts w:ascii="Calibri" w:hAnsi="Calibri"/>
                <w:color w:val="000000"/>
                <w:sz w:val="22"/>
                <w:szCs w:val="22"/>
              </w:rPr>
              <w:t> 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lastRenderedPageBreak/>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lastRenderedPageBreak/>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01D4E850"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BF70B4">
        <w:rPr>
          <w:rFonts w:asciiTheme="minorHAnsi" w:hAnsiTheme="minorHAnsi"/>
        </w:rPr>
        <w:t xml:space="preserve">, </w:t>
      </w:r>
      <w:r w:rsidR="00BF70B4" w:rsidRPr="00BF70B4">
        <w:rPr>
          <w:rFonts w:asciiTheme="minorHAnsi" w:hAnsiTheme="minorHAnsi"/>
        </w:rPr>
        <w:t>calculado sobre o saldo devedor</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1B00AC4F"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F70B4" w:rsidRPr="00BF70B4">
        <w:rPr>
          <w:rFonts w:asciiTheme="minorHAnsi" w:hAnsiTheme="minorHAnsi"/>
        </w:rPr>
        <w:t>Na hipótese de carência para o primeiro pagamento a atualização do saldo devedor durante esse período de carência será cobrado de uma só vez junto com a primeira parcela do financiamento.</w:t>
      </w:r>
    </w:p>
    <w:p w14:paraId="03DF164A" w14:textId="77777777" w:rsidR="00BF70B4" w:rsidRDefault="00BF70B4" w:rsidP="00572B65">
      <w:pPr>
        <w:pStyle w:val="Corpodetexto"/>
        <w:rPr>
          <w:rFonts w:asciiTheme="minorHAnsi" w:hAnsiTheme="minorHAnsi"/>
        </w:rPr>
      </w:pPr>
    </w:p>
    <w:p w14:paraId="2066D938" w14:textId="1BB82FD5" w:rsidR="00BF70B4" w:rsidRDefault="00BF70B4" w:rsidP="00572B65">
      <w:pPr>
        <w:pStyle w:val="Corpodetexto"/>
        <w:rPr>
          <w:rFonts w:asciiTheme="minorHAnsi" w:hAnsiTheme="minorHAnsi"/>
        </w:rPr>
      </w:pPr>
      <w:r w:rsidRPr="00BF70B4">
        <w:rPr>
          <w:rFonts w:asciiTheme="minorHAnsi" w:hAnsiTheme="minorHAnsi"/>
          <w:b/>
        </w:rPr>
        <w:lastRenderedPageBreak/>
        <w:t>3.2.2.</w:t>
      </w:r>
      <w:r w:rsidRPr="00BF70B4">
        <w:rPr>
          <w:rFonts w:asciiTheme="minorHAnsi" w:hAnsiTheme="minorHAnsi"/>
        </w:rPr>
        <w:t xml:space="preserve"> Conforme estipulado no item </w:t>
      </w:r>
      <w:r w:rsidRPr="00BF70B4">
        <w:rPr>
          <w:rFonts w:asciiTheme="minorHAnsi" w:hAnsiTheme="minorHAnsi"/>
          <w:b/>
        </w:rPr>
        <w:t>4.6.</w:t>
      </w:r>
      <w:r w:rsidRPr="00BF70B4">
        <w:rPr>
          <w:rFonts w:asciiTheme="minorHAnsi" w:hAnsiTheme="minorHAnsi"/>
        </w:rPr>
        <w:t xml:space="preserve"> </w:t>
      </w:r>
      <w:proofErr w:type="gramStart"/>
      <w:r w:rsidRPr="00BF70B4">
        <w:rPr>
          <w:rFonts w:asciiTheme="minorHAnsi" w:hAnsiTheme="minorHAnsi"/>
        </w:rPr>
        <w:t>do</w:t>
      </w:r>
      <w:proofErr w:type="gramEnd"/>
      <w:r w:rsidRPr="00BF70B4">
        <w:rPr>
          <w:rFonts w:asciiTheme="minorHAnsi" w:hAnsiTheme="minorHAnsi"/>
        </w:rPr>
        <w:t xml:space="preserve"> QUADRO RESUMO, o saldo devedor será atualizado mensalmente pelo índice IPCA/IBGE desde a assinatura do presente instrumento e essa atualização será cobrada de forma mensal junto com as parcelas mensais do financiamento.</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w:t>
      </w:r>
      <w:r w:rsidRPr="00E47862">
        <w:rPr>
          <w:rFonts w:asciiTheme="minorHAnsi" w:hAnsiTheme="minorHAnsi"/>
        </w:rPr>
        <w:lastRenderedPageBreak/>
        <w:t>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w:t>
      </w:r>
      <w:r w:rsidRPr="00E47862">
        <w:rPr>
          <w:rFonts w:asciiTheme="minorHAnsi" w:hAnsiTheme="minorHAnsi"/>
        </w:rPr>
        <w:lastRenderedPageBreak/>
        <w:t>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lastRenderedPageBreak/>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lastRenderedPageBreak/>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 xml:space="preserve">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w:t>
      </w:r>
      <w:r w:rsidRPr="00A41C47">
        <w:rPr>
          <w:rFonts w:asciiTheme="minorHAnsi" w:hAnsiTheme="minorHAnsi"/>
          <w:sz w:val="24"/>
          <w:szCs w:val="24"/>
        </w:rPr>
        <w:lastRenderedPageBreak/>
        <w:t>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Pr="00E47862">
        <w:rPr>
          <w:rFonts w:asciiTheme="minorHAnsi" w:hAnsiTheme="minorHAnsi"/>
        </w:rPr>
        <w:lastRenderedPageBreak/>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lastRenderedPageBreak/>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lastRenderedPageBreak/>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w:t>
      </w:r>
      <w:r w:rsidRPr="00E47862">
        <w:rPr>
          <w:rFonts w:asciiTheme="minorHAnsi" w:hAnsiTheme="minorHAnsi"/>
        </w:rPr>
        <w:lastRenderedPageBreak/>
        <w:t>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lastRenderedPageBreak/>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lastRenderedPageBreak/>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763DD35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6A4C5F">
              <w:rPr>
                <w:rFonts w:asciiTheme="minorHAnsi" w:hAnsiTheme="minorHAnsi" w:cstheme="minorHAnsi"/>
                <w:b/>
              </w:rPr>
              <w:t xml:space="preserve">BMP </w:t>
            </w:r>
            <w:r w:rsidR="00617354">
              <w:rPr>
                <w:rFonts w:asciiTheme="minorHAnsi" w:hAnsiTheme="minorHAnsi" w:cstheme="minorHAnsi"/>
                <w:b/>
              </w:rPr>
              <w:t>SOCIEDADE</w:t>
            </w:r>
            <w:r w:rsidRPr="00E47862">
              <w:rPr>
                <w:rFonts w:asciiTheme="minorHAnsi" w:hAnsiTheme="minorHAnsi" w:cstheme="minorHAnsi"/>
                <w:b/>
              </w:rPr>
              <w:t xml:space="preserv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71779" w14:textId="77777777" w:rsidR="00A22AC6" w:rsidRDefault="00A22AC6" w:rsidP="00FB4507">
      <w:pPr>
        <w:rPr>
          <w:rFonts w:ascii="Cambria" w:hAnsi="Cambria"/>
        </w:rPr>
      </w:pPr>
      <w:r>
        <w:rPr>
          <w:rFonts w:ascii="Cambria" w:hAnsi="Cambria"/>
        </w:rPr>
        <w:separator/>
      </w:r>
    </w:p>
  </w:endnote>
  <w:endnote w:type="continuationSeparator" w:id="0">
    <w:p w14:paraId="467B796E" w14:textId="77777777" w:rsidR="00A22AC6" w:rsidRDefault="00A22AC6" w:rsidP="00FB4507">
      <w:pPr>
        <w:rPr>
          <w:rFonts w:ascii="Cambria" w:hAnsi="Cambria"/>
        </w:rPr>
      </w:pPr>
      <w:r>
        <w:rPr>
          <w:rFonts w:ascii="Cambria" w:hAnsi="Cambria"/>
        </w:rPr>
        <w:continuationSeparator/>
      </w:r>
    </w:p>
  </w:endnote>
  <w:endnote w:type="continuationNotice" w:id="1">
    <w:p w14:paraId="1875CC97" w14:textId="77777777" w:rsidR="00A22AC6" w:rsidRDefault="00A22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F2340A" w:rsidRDefault="00F2340A">
        <w:pPr>
          <w:pStyle w:val="Rodap"/>
          <w:jc w:val="right"/>
        </w:pPr>
        <w:r>
          <w:fldChar w:fldCharType="begin"/>
        </w:r>
        <w:r>
          <w:instrText>PAGE   \* MERGEFORMAT</w:instrText>
        </w:r>
        <w:r>
          <w:fldChar w:fldCharType="separate"/>
        </w:r>
        <w:r w:rsidR="005E3226">
          <w:rPr>
            <w:noProof/>
          </w:rPr>
          <w:t>4</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AED20" w14:textId="77777777" w:rsidR="00A22AC6" w:rsidRDefault="00A22AC6" w:rsidP="00FB4507">
      <w:pPr>
        <w:rPr>
          <w:rFonts w:ascii="Cambria" w:hAnsi="Cambria"/>
        </w:rPr>
      </w:pPr>
      <w:r>
        <w:rPr>
          <w:rFonts w:ascii="Cambria" w:hAnsi="Cambria"/>
        </w:rPr>
        <w:separator/>
      </w:r>
    </w:p>
  </w:footnote>
  <w:footnote w:type="continuationSeparator" w:id="0">
    <w:p w14:paraId="1F4BC8E5" w14:textId="77777777" w:rsidR="00A22AC6" w:rsidRDefault="00A22AC6" w:rsidP="00FB4507">
      <w:pPr>
        <w:rPr>
          <w:rFonts w:ascii="Cambria" w:hAnsi="Cambria"/>
        </w:rPr>
      </w:pPr>
      <w:r>
        <w:rPr>
          <w:rFonts w:ascii="Cambria" w:hAnsi="Cambria"/>
        </w:rPr>
        <w:continuationSeparator/>
      </w:r>
    </w:p>
  </w:footnote>
  <w:footnote w:type="continuationNotice" w:id="1">
    <w:p w14:paraId="36C68215" w14:textId="77777777" w:rsidR="00A22AC6" w:rsidRDefault="00A22A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22DBD3-66C2-465C-AD87-5F28E4B91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11744</TotalTime>
  <Pages>26</Pages>
  <Words>11519</Words>
  <Characters>62206</Characters>
  <Application>Microsoft Office Word</Application>
  <DocSecurity>0</DocSecurity>
  <Lines>518</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4</cp:revision>
  <cp:lastPrinted>2022-06-18T15:55:00Z</cp:lastPrinted>
  <dcterms:created xsi:type="dcterms:W3CDTF">2022-06-16T18:30:00Z</dcterms:created>
  <dcterms:modified xsi:type="dcterms:W3CDTF">2022-12-09T16:10:00Z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