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r w:rsidRPr="00860896">
              <w:rPr>
                <w:rFonts w:ascii="Calibri" w:hAnsi="Calibri"/>
                <w:color w:val="000000"/>
                <w:sz w:val="22"/>
                <w:szCs w:val="22"/>
              </w:rPr>
              <w:t>valorCredito</w:t>
            </w:r>
            <w:r w:rsidR="00F64D68">
              <w:rPr>
                <w:rFonts w:ascii="Calibri" w:hAnsi="Calibri"/>
                <w:color w:val="000000"/>
                <w:sz w:val="22"/>
                <w:szCs w:val="22"/>
              </w:rPr>
              <w:t xml:space="preserve"> </w:t>
            </w:r>
            <w:r w:rsidR="00F64D68" w:rsidRPr="00F64D68">
              <w:rPr>
                <w:rFonts w:ascii="Calibri" w:hAnsi="Calibri"/>
                <w:color w:val="000000"/>
                <w:sz w:val="22"/>
                <w:szCs w:val="22"/>
              </w:rPr>
              <w:t>(ExtensoValorCredito)</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r w:rsidRPr="00860896">
              <w:rPr>
                <w:rFonts w:ascii="Calibri" w:hAnsi="Calibri"/>
                <w:color w:val="000000"/>
                <w:sz w:val="22"/>
                <w:szCs w:val="22"/>
              </w:rPr>
              <w:t>valorLiquidoCredito</w:t>
            </w:r>
            <w:r w:rsidR="00F64D68">
              <w:rPr>
                <w:rFonts w:ascii="Calibri" w:hAnsi="Calibri"/>
                <w:color w:val="000000"/>
                <w:sz w:val="22"/>
                <w:szCs w:val="22"/>
              </w:rPr>
              <w:t xml:space="preserve"> </w:t>
            </w:r>
            <w:r w:rsidR="00F64D68" w:rsidRPr="00F64D68">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r w:rsidRPr="00860896">
              <w:rPr>
                <w:rFonts w:ascii="Calibri" w:hAnsi="Calibri"/>
                <w:color w:val="000000"/>
                <w:sz w:val="22"/>
                <w:szCs w:val="22"/>
              </w:rPr>
              <w:t>custoEmissao</w:t>
            </w:r>
            <w:r w:rsidR="00F64D68">
              <w:rPr>
                <w:rFonts w:ascii="Calibri" w:hAnsi="Calibri"/>
                <w:color w:val="000000"/>
                <w:sz w:val="22"/>
                <w:szCs w:val="22"/>
              </w:rPr>
              <w:t xml:space="preserve"> </w:t>
            </w:r>
            <w:r w:rsidR="00F64D68" w:rsidRPr="00F64D68">
              <w:rPr>
                <w:rFonts w:ascii="Calibri" w:hAnsi="Calibri"/>
                <w:color w:val="000000"/>
                <w:sz w:val="22"/>
                <w:szCs w:val="22"/>
              </w:rPr>
              <w:t>(ExtensoCustoEmissao)</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r w:rsidRPr="00860896">
              <w:rPr>
                <w:rFonts w:ascii="Calibri" w:hAnsi="Calibri"/>
                <w:color w:val="000000"/>
                <w:sz w:val="22"/>
                <w:szCs w:val="22"/>
              </w:rPr>
              <w:t>valorIOF</w:t>
            </w:r>
            <w:r w:rsidR="00F64D68">
              <w:rPr>
                <w:rFonts w:ascii="Calibri" w:hAnsi="Calibri"/>
                <w:color w:val="000000"/>
                <w:sz w:val="22"/>
                <w:szCs w:val="22"/>
              </w:rPr>
              <w:t xml:space="preserve"> </w:t>
            </w:r>
            <w:r w:rsidR="00F64D68" w:rsidRPr="00F64D68">
              <w:rPr>
                <w:rFonts w:ascii="Calibri" w:hAnsi="Calibri"/>
                <w:color w:val="000000"/>
                <w:sz w:val="22"/>
                <w:szCs w:val="22"/>
              </w:rPr>
              <w:t>(ExtensoValorIOF)</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r w:rsidRPr="00860896">
              <w:rPr>
                <w:rFonts w:ascii="Calibri" w:hAnsi="Calibri"/>
                <w:color w:val="000000"/>
                <w:sz w:val="22"/>
                <w:szCs w:val="22"/>
              </w:rPr>
              <w:t>valorDespesas</w:t>
            </w:r>
            <w:r w:rsidR="00F64D68">
              <w:rPr>
                <w:rFonts w:ascii="Calibri" w:hAnsi="Calibri"/>
                <w:color w:val="000000"/>
                <w:sz w:val="22"/>
                <w:szCs w:val="22"/>
              </w:rPr>
              <w:t xml:space="preserve"> </w:t>
            </w:r>
            <w:r w:rsidR="00F64D68" w:rsidRPr="00F64D68">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r w:rsidRPr="00AA6CEC">
              <w:rPr>
                <w:rFonts w:ascii="Calibri" w:hAnsi="Calibri"/>
                <w:color w:val="000000"/>
                <w:sz w:val="22"/>
                <w:szCs w:val="22"/>
              </w:rPr>
              <w:t>titularConta</w:t>
            </w:r>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r w:rsidRPr="00860896">
              <w:rPr>
                <w:rFonts w:ascii="Calibri" w:hAnsi="Calibri"/>
                <w:color w:val="000000"/>
                <w:sz w:val="22"/>
                <w:szCs w:val="22"/>
              </w:rPr>
              <w:t>agencia</w:t>
            </w:r>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r w:rsidRPr="00860896">
              <w:rPr>
                <w:rFonts w:ascii="Calibri" w:hAnsi="Calibri"/>
                <w:color w:val="000000"/>
                <w:sz w:val="22"/>
                <w:szCs w:val="22"/>
              </w:rPr>
              <w:t>contaCorrente</w:t>
            </w:r>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r w:rsidRPr="0071106B">
              <w:rPr>
                <w:rFonts w:ascii="Calibri" w:hAnsi="Calibri"/>
                <w:color w:val="000000"/>
                <w:sz w:val="22"/>
                <w:szCs w:val="22"/>
              </w:rPr>
              <w:t>prazoContrato</w:t>
            </w:r>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r w:rsidRPr="00860896">
              <w:rPr>
                <w:rFonts w:ascii="Calibri" w:hAnsi="Calibri"/>
                <w:color w:val="000000"/>
                <w:sz w:val="22"/>
                <w:szCs w:val="22"/>
              </w:rPr>
              <w:t>numeroParcelasPagamento</w:t>
            </w:r>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r w:rsidRPr="00860896">
              <w:rPr>
                <w:rFonts w:ascii="Calibri" w:hAnsi="Calibri"/>
                <w:color w:val="000000"/>
                <w:sz w:val="22"/>
                <w:szCs w:val="22"/>
              </w:rPr>
              <w:t>vencimentoPrimeiraParcelaPagamento</w:t>
            </w:r>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r w:rsidR="00860896" w:rsidRPr="00860896">
              <w:rPr>
                <w:rFonts w:ascii="Calibri" w:hAnsi="Calibri"/>
                <w:color w:val="000000"/>
                <w:sz w:val="22"/>
                <w:szCs w:val="22"/>
              </w:rPr>
              <w:t>taxaDeJurosMes</w:t>
            </w:r>
            <w:r w:rsidR="00F36B32">
              <w:rPr>
                <w:rFonts w:ascii="Calibri" w:hAnsi="Calibri"/>
                <w:color w:val="000000"/>
                <w:sz w:val="22"/>
                <w:szCs w:val="22"/>
              </w:rPr>
              <w:t>%</w:t>
            </w:r>
            <w:r>
              <w:rPr>
                <w:rFonts w:ascii="Calibri" w:hAnsi="Calibri"/>
                <w:color w:val="000000"/>
                <w:sz w:val="22"/>
                <w:szCs w:val="22"/>
              </w:rPr>
              <w:t xml:space="preserve">                                                                                                                                 Ano: </w:t>
            </w:r>
            <w:r w:rsidR="00860896" w:rsidRPr="00860896">
              <w:rPr>
                <w:rFonts w:ascii="Calibri" w:hAnsi="Calibri"/>
                <w:color w:val="000000"/>
                <w:sz w:val="22"/>
                <w:szCs w:val="22"/>
              </w:rPr>
              <w:t>taxaDeJurosAno</w:t>
            </w:r>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r w:rsidR="00C65AAF" w:rsidRPr="00C65AAF">
              <w:rPr>
                <w:rFonts w:ascii="Calibri" w:hAnsi="Calibri"/>
                <w:color w:val="000000"/>
                <w:sz w:val="22"/>
                <w:szCs w:val="22"/>
              </w:rPr>
              <w:t>cetMes</w:t>
            </w:r>
            <w:r w:rsidR="00F36B32">
              <w:rPr>
                <w:rFonts w:ascii="Calibri" w:hAnsi="Calibri"/>
                <w:color w:val="000000"/>
                <w:sz w:val="22"/>
                <w:szCs w:val="22"/>
              </w:rPr>
              <w:t>%</w:t>
            </w:r>
            <w:r>
              <w:rPr>
                <w:rFonts w:ascii="Calibri" w:hAnsi="Calibri"/>
                <w:color w:val="000000"/>
                <w:sz w:val="22"/>
                <w:szCs w:val="22"/>
              </w:rPr>
              <w:t xml:space="preserve">                                                                                                                                 Ano: </w:t>
            </w:r>
            <w:r w:rsidR="00C65AAF" w:rsidRPr="00C65AAF">
              <w:rPr>
                <w:rFonts w:ascii="Calibri" w:hAnsi="Calibri"/>
                <w:color w:val="000000"/>
                <w:sz w:val="22"/>
                <w:szCs w:val="22"/>
              </w:rPr>
              <w:t>cetAno</w:t>
            </w:r>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r w:rsidRPr="00475C3D">
              <w:rPr>
                <w:rFonts w:ascii="Calibri" w:hAnsi="Calibri"/>
                <w:color w:val="000000"/>
                <w:sz w:val="22"/>
                <w:szCs w:val="22"/>
              </w:rPr>
              <w:t>sistemaAmortizacao</w:t>
            </w:r>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133AC9">
              <w:rPr>
                <w:rFonts w:ascii="Calibri" w:hAnsi="Calibri"/>
                <w:color w:val="000000"/>
              </w:rPr>
              <w:t xml:space="preserve"> 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r w:rsidRPr="00647EC6">
              <w:rPr>
                <w:rFonts w:ascii="Calibri" w:hAnsi="Calibri"/>
                <w:color w:val="000000"/>
                <w:sz w:val="22"/>
                <w:szCs w:val="22"/>
              </w:rPr>
              <w:t>totalPrimeiraParcela</w:t>
            </w:r>
            <w:r w:rsidR="0066055C" w:rsidRPr="00647EC6">
              <w:rPr>
                <w:rFonts w:ascii="Calibri" w:hAnsi="Calibri"/>
                <w:color w:val="000000"/>
                <w:sz w:val="22"/>
                <w:szCs w:val="22"/>
              </w:rPr>
              <w:t xml:space="preserve"> (</w:t>
            </w:r>
            <w:r w:rsidR="00322805" w:rsidRPr="00322805">
              <w:rPr>
                <w:rFonts w:ascii="Calibri" w:hAnsi="Calibri"/>
                <w:color w:val="000000"/>
                <w:sz w:val="22"/>
                <w:szCs w:val="22"/>
              </w:rPr>
              <w:t>ExtensoTotalPrimeiraParcela</w:t>
            </w:r>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r w:rsidRPr="0071106B">
              <w:rPr>
                <w:rFonts w:ascii="Calibri" w:hAnsi="Calibri"/>
                <w:color w:val="000000"/>
                <w:sz w:val="22"/>
                <w:szCs w:val="22"/>
              </w:rPr>
              <w:t>valorMipParcela</w:t>
            </w:r>
            <w:r w:rsidR="0066055C">
              <w:rPr>
                <w:rFonts w:ascii="Calibri" w:hAnsi="Calibri"/>
                <w:color w:val="000000"/>
                <w:sz w:val="22"/>
                <w:szCs w:val="22"/>
              </w:rPr>
              <w:t xml:space="preserve"> (</w:t>
            </w:r>
            <w:r w:rsidRPr="0071106B">
              <w:rPr>
                <w:rFonts w:ascii="Calibri" w:hAnsi="Calibri"/>
                <w:color w:val="000000"/>
                <w:sz w:val="22"/>
                <w:szCs w:val="22"/>
              </w:rPr>
              <w:t>ExtensoValorMipParcela</w:t>
            </w:r>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r w:rsidRPr="0071106B">
              <w:rPr>
                <w:rFonts w:ascii="Calibri" w:hAnsi="Calibri"/>
                <w:color w:val="000000"/>
                <w:sz w:val="22"/>
                <w:szCs w:val="22"/>
              </w:rPr>
              <w:t>valorDfiParcela</w:t>
            </w:r>
            <w:r w:rsidR="0066055C">
              <w:rPr>
                <w:rFonts w:ascii="Calibri" w:hAnsi="Calibri"/>
                <w:color w:val="000000"/>
                <w:sz w:val="22"/>
                <w:szCs w:val="22"/>
              </w:rPr>
              <w:t xml:space="preserve"> (</w:t>
            </w:r>
            <w:r w:rsidRPr="0071106B">
              <w:rPr>
                <w:rFonts w:ascii="Calibri" w:hAnsi="Calibri"/>
                <w:color w:val="000000"/>
                <w:sz w:val="22"/>
                <w:szCs w:val="22"/>
              </w:rPr>
              <w:t>ExtensoValorDfiParcela</w:t>
            </w:r>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r w:rsidRPr="0071106B">
              <w:rPr>
                <w:rFonts w:ascii="Calibri" w:hAnsi="Calibri"/>
                <w:color w:val="000000"/>
                <w:sz w:val="22"/>
                <w:szCs w:val="22"/>
              </w:rPr>
              <w:t>valorParcela</w:t>
            </w:r>
            <w:r w:rsidR="0066055C">
              <w:rPr>
                <w:rFonts w:ascii="Calibri" w:hAnsi="Calibri"/>
                <w:color w:val="000000"/>
                <w:sz w:val="22"/>
                <w:szCs w:val="22"/>
              </w:rPr>
              <w:t xml:space="preserve"> (</w:t>
            </w:r>
            <w:r w:rsidRPr="0071106B">
              <w:rPr>
                <w:rFonts w:ascii="Calibri" w:hAnsi="Calibri"/>
                <w:color w:val="000000"/>
                <w:sz w:val="22"/>
                <w:szCs w:val="22"/>
              </w:rPr>
              <w:t>ExtensoValorParcela</w:t>
            </w:r>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w:t>
            </w:r>
            <w:r w:rsidR="00817898">
              <w:rPr>
                <w:rFonts w:ascii="Calibri" w:hAnsi="Calibri"/>
                <w:color w:val="000000"/>
                <w:sz w:val="22"/>
                <w:szCs w:val="22"/>
              </w:rPr>
              <w:t xml:space="preserve"> força do Registro n° </w:t>
            </w:r>
            <w:r w:rsidR="00817898" w:rsidRPr="00817898">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r w:rsidRPr="00475C3D">
              <w:rPr>
                <w:rFonts w:ascii="Calibri" w:hAnsi="Calibri"/>
                <w:color w:val="000000"/>
                <w:sz w:val="22"/>
                <w:szCs w:val="22"/>
              </w:rPr>
              <w:t>ImagemImovel</w:t>
            </w:r>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5860A0">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r w:rsidRPr="00ED2507">
              <w:rPr>
                <w:rFonts w:ascii="Calibri" w:hAnsi="Calibri"/>
                <w:color w:val="000000"/>
                <w:sz w:val="22"/>
                <w:szCs w:val="22"/>
              </w:rPr>
              <w:t>numeroImovel</w:t>
            </w:r>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r w:rsidRPr="00647EC6">
              <w:rPr>
                <w:rFonts w:ascii="Calibri" w:hAnsi="Calibri"/>
                <w:color w:val="000000"/>
                <w:sz w:val="22"/>
                <w:szCs w:val="22"/>
              </w:rPr>
              <w:t>inscricaoMunicipal</w:t>
            </w:r>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r w:rsidRPr="00C65AAF">
              <w:rPr>
                <w:rFonts w:ascii="Calibri" w:hAnsi="Calibri"/>
                <w:color w:val="000000"/>
                <w:sz w:val="22"/>
                <w:szCs w:val="22"/>
              </w:rPr>
              <w:t>vendaLeilao</w:t>
            </w:r>
            <w:r w:rsidR="0066055C">
              <w:rPr>
                <w:rFonts w:ascii="Calibri" w:hAnsi="Calibri"/>
                <w:color w:val="000000"/>
                <w:sz w:val="22"/>
                <w:szCs w:val="22"/>
              </w:rPr>
              <w:t xml:space="preserve"> (</w:t>
            </w:r>
            <w:r w:rsidR="00774CBB" w:rsidRPr="00774CBB">
              <w:rPr>
                <w:rFonts w:ascii="Calibri" w:hAnsi="Calibri"/>
                <w:color w:val="000000"/>
                <w:sz w:val="22"/>
                <w:szCs w:val="22"/>
              </w:rPr>
              <w:t>ExtensoVendaLeilao</w:t>
            </w:r>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4E3FD9F7" w:rsidR="0066055C" w:rsidRDefault="006F0F2A">
            <w:pPr>
              <w:rPr>
                <w:rFonts w:ascii="Calibri" w:hAnsi="Calibri"/>
                <w:color w:val="000000"/>
                <w:sz w:val="22"/>
                <w:szCs w:val="22"/>
              </w:rPr>
            </w:pPr>
            <w:r w:rsidRPr="006F0F2A">
              <w:rPr>
                <w:rFonts w:ascii="Calibri" w:hAnsi="Calibri"/>
                <w:color w:val="000000"/>
                <w:sz w:val="22"/>
                <w:szCs w:val="22"/>
              </w:rPr>
              <w:t>numeroCCB</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A4E0BAC" w:rsidR="0066055C" w:rsidRDefault="00A918BE" w:rsidP="0066055C">
            <w:pPr>
              <w:jc w:val="both"/>
              <w:rPr>
                <w:rFonts w:ascii="Calibri" w:hAnsi="Calibri"/>
                <w:color w:val="000000"/>
                <w:sz w:val="22"/>
                <w:szCs w:val="22"/>
              </w:rPr>
            </w:pPr>
            <w:r w:rsidRPr="00A918BE">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5860A0">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r w:rsidR="00455874" w:rsidRPr="00455874">
              <w:rPr>
                <w:rFonts w:ascii="Calibri" w:hAnsi="Calibri"/>
                <w:color w:val="000000"/>
                <w:sz w:val="22"/>
                <w:szCs w:val="22"/>
              </w:rPr>
              <w:t>emissaoDia</w:t>
            </w:r>
            <w:r>
              <w:rPr>
                <w:rFonts w:ascii="Calibri" w:hAnsi="Calibri"/>
                <w:color w:val="000000"/>
                <w:sz w:val="22"/>
                <w:szCs w:val="22"/>
              </w:rPr>
              <w:t xml:space="preserve"> de </w:t>
            </w:r>
            <w:r w:rsidR="00455874" w:rsidRPr="00455874">
              <w:rPr>
                <w:rFonts w:ascii="Calibri" w:hAnsi="Calibri"/>
                <w:color w:val="000000"/>
                <w:sz w:val="22"/>
                <w:szCs w:val="22"/>
              </w:rPr>
              <w:t>emissaoMes</w:t>
            </w:r>
            <w:r w:rsidR="00455874">
              <w:rPr>
                <w:rFonts w:ascii="Calibri" w:hAnsi="Calibri"/>
                <w:color w:val="000000"/>
                <w:sz w:val="22"/>
                <w:szCs w:val="22"/>
              </w:rPr>
              <w:t xml:space="preserve"> </w:t>
            </w:r>
            <w:r>
              <w:rPr>
                <w:rFonts w:ascii="Calibri" w:hAnsi="Calibri"/>
                <w:color w:val="000000"/>
                <w:sz w:val="22"/>
                <w:szCs w:val="22"/>
              </w:rPr>
              <w:t xml:space="preserve">de </w:t>
            </w:r>
            <w:r w:rsidR="00455874" w:rsidRPr="00455874">
              <w:rPr>
                <w:rFonts w:ascii="Calibri" w:hAnsi="Calibri"/>
                <w:color w:val="000000"/>
                <w:sz w:val="22"/>
                <w:szCs w:val="22"/>
              </w:rPr>
              <w:t>emissaoAno</w:t>
            </w:r>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(ii)</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(ii</w:t>
      </w:r>
      <w:r w:rsidR="00EC30CC" w:rsidRPr="00E47862">
        <w:rPr>
          <w:rFonts w:asciiTheme="minorHAnsi" w:hAnsiTheme="minorHAnsi"/>
          <w:szCs w:val="24"/>
        </w:rPr>
        <w:t>i</w:t>
      </w:r>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r w:rsidR="00157E45" w:rsidRPr="00E47862">
        <w:rPr>
          <w:rFonts w:asciiTheme="minorHAnsi" w:hAnsiTheme="minorHAnsi"/>
          <w:bCs/>
          <w:szCs w:val="24"/>
        </w:rPr>
        <w:t>i</w:t>
      </w:r>
      <w:r w:rsidR="00EC30CC" w:rsidRPr="00E47862">
        <w:rPr>
          <w:rFonts w:asciiTheme="minorHAnsi" w:hAnsiTheme="minorHAnsi"/>
          <w:bCs/>
          <w:szCs w:val="24"/>
        </w:rPr>
        <w:t>v</w:t>
      </w:r>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Fica autorizado neste ato o CREDOR a contratar em nome do(s)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foi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 xml:space="preserve">.1 acima, o(s) DEVEDOR(ES)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w:t>
      </w:r>
      <w:r w:rsidRPr="00E47862">
        <w:rPr>
          <w:rFonts w:asciiTheme="minorHAnsi" w:hAnsiTheme="minorHAnsi"/>
        </w:rPr>
        <w:lastRenderedPageBreak/>
        <w:t xml:space="preserve">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lastRenderedPageBreak/>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6BE9835B"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r w:rsidR="00255AA6" w:rsidRPr="00761445">
        <w:rPr>
          <w:rFonts w:asciiTheme="minorHAnsi" w:hAnsiTheme="minorHAnsi" w:cstheme="minorHAnsi"/>
        </w:rPr>
        <w:t>nomeEmitente</w:t>
      </w:r>
      <w:r w:rsidR="00255AA6" w:rsidRPr="00763EE9">
        <w:rPr>
          <w:rFonts w:asciiTheme="minorHAnsi" w:hAnsiTheme="minorHAnsi" w:cstheme="minorHAnsi"/>
        </w:rPr>
        <w:t xml:space="preserve"> </w:t>
      </w:r>
      <w:r w:rsidRPr="00763EE9">
        <w:rPr>
          <w:rFonts w:asciiTheme="minorHAnsi" w:hAnsiTheme="minorHAnsi" w:cstheme="minorHAnsi"/>
        </w:rPr>
        <w:t xml:space="preserve">contratadas no âmbito desta Cédula de Crédito, o valor do(s) Imóvel(eis) deverá(ão) ser equivalente a, pelo menos, </w:t>
      </w:r>
      <w:r w:rsidR="00E25A48" w:rsidRPr="00896465">
        <w:rPr>
          <w:rFonts w:asciiTheme="minorHAnsi" w:hAnsiTheme="minorHAnsi" w:cstheme="minorHAnsi"/>
          <w:b/>
        </w:rPr>
        <w:t>porcentagemImovel</w:t>
      </w:r>
      <w:r w:rsidRPr="00763EE9">
        <w:rPr>
          <w:rFonts w:asciiTheme="minorHAnsi" w:hAnsiTheme="minorHAnsi" w:cstheme="minorHAnsi"/>
        </w:rPr>
        <w:t>% (</w:t>
      </w:r>
      <w:r w:rsidR="00896465" w:rsidRPr="00896465">
        <w:rPr>
          <w:rFonts w:asciiTheme="minorHAnsi" w:hAnsiTheme="minorHAnsi" w:cstheme="minorHAnsi"/>
        </w:rPr>
        <w:t>ExtensoPorcentagemImovel</w:t>
      </w:r>
      <w:r w:rsidRPr="00763EE9">
        <w:rPr>
          <w:rFonts w:asciiTheme="minorHAnsi" w:hAnsiTheme="minorHAnsi" w:cstheme="minorHAnsi"/>
        </w:rPr>
        <w:t>) do saldo devedor, acrescido dos juros remuneratórios e, conforme o caso, encargos moratór</w:t>
      </w:r>
      <w:bookmarkStart w:id="3" w:name="_GoBack"/>
      <w:bookmarkEnd w:id="3"/>
      <w:r w:rsidRPr="00763EE9">
        <w:rPr>
          <w:rFonts w:asciiTheme="minorHAnsi" w:hAnsiTheme="minorHAnsi" w:cstheme="minorHAnsi"/>
        </w:rPr>
        <w:t>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w:t>
      </w:r>
      <w:r w:rsidRPr="00E47862">
        <w:rPr>
          <w:rFonts w:asciiTheme="minorHAnsi" w:hAnsiTheme="minorHAnsi"/>
        </w:rPr>
        <w:lastRenderedPageBreak/>
        <w:t xml:space="preserve">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w:t>
      </w:r>
      <w:r w:rsidRPr="00E47862">
        <w:rPr>
          <w:rFonts w:asciiTheme="minorHAnsi" w:hAnsiTheme="minorHAnsi"/>
        </w:rPr>
        <w:lastRenderedPageBreak/>
        <w:t xml:space="preserve">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lastRenderedPageBreak/>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lastRenderedPageBreak/>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00AA6CEC" w:rsidRPr="00AA6CEC">
        <w:rPr>
          <w:rFonts w:asciiTheme="minorHAnsi" w:hAnsiTheme="minorHAnsi" w:cstheme="minorHAnsi"/>
        </w:rPr>
        <w:t xml:space="preserve">emissaoDia </w:t>
      </w:r>
      <w:r w:rsidRPr="00E47862">
        <w:rPr>
          <w:rFonts w:asciiTheme="minorHAnsi" w:hAnsiTheme="minorHAnsi" w:cstheme="minorHAnsi"/>
        </w:rPr>
        <w:t xml:space="preserve">de </w:t>
      </w:r>
      <w:r w:rsidR="00AA6CEC" w:rsidRPr="00AA6CEC">
        <w:rPr>
          <w:rFonts w:asciiTheme="minorHAnsi" w:hAnsiTheme="minorHAnsi" w:cstheme="minorHAnsi"/>
        </w:rPr>
        <w:t>emissaoMes</w:t>
      </w:r>
      <w:r w:rsidR="00FA099C" w:rsidRPr="00E47862">
        <w:rPr>
          <w:rFonts w:asciiTheme="minorHAnsi" w:hAnsiTheme="minorHAnsi" w:cstheme="minorHAnsi"/>
        </w:rPr>
        <w:t xml:space="preserve"> </w:t>
      </w:r>
      <w:r w:rsidRPr="00E47862">
        <w:rPr>
          <w:rFonts w:asciiTheme="minorHAnsi" w:hAnsiTheme="minorHAnsi" w:cstheme="minorHAnsi"/>
        </w:rPr>
        <w:t xml:space="preserve">de </w:t>
      </w:r>
      <w:r w:rsidR="00AA6CEC"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77777777"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Pr="00ED2507">
              <w:rPr>
                <w:rFonts w:asciiTheme="minorHAnsi" w:hAnsiTheme="minorHAnsi" w:cstheme="minorHAnsi"/>
                <w:b/>
              </w:rPr>
              <w:t>nomeEmitente</w:t>
            </w:r>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2E4CA" w14:textId="77777777" w:rsidR="006A1BF9" w:rsidRDefault="006A1BF9" w:rsidP="00FB4507">
      <w:pPr>
        <w:rPr>
          <w:rFonts w:ascii="Cambria" w:hAnsi="Cambria"/>
        </w:rPr>
      </w:pPr>
      <w:r>
        <w:rPr>
          <w:rFonts w:ascii="Cambria" w:hAnsi="Cambria"/>
        </w:rPr>
        <w:separator/>
      </w:r>
    </w:p>
  </w:endnote>
  <w:endnote w:type="continuationSeparator" w:id="0">
    <w:p w14:paraId="19322D27" w14:textId="77777777" w:rsidR="006A1BF9" w:rsidRDefault="006A1BF9" w:rsidP="00FB4507">
      <w:pPr>
        <w:rPr>
          <w:rFonts w:ascii="Cambria" w:hAnsi="Cambria"/>
        </w:rPr>
      </w:pPr>
      <w:r>
        <w:rPr>
          <w:rFonts w:ascii="Cambria" w:hAnsi="Cambria"/>
        </w:rPr>
        <w:continuationSeparator/>
      </w:r>
    </w:p>
  </w:endnote>
  <w:endnote w:type="continuationNotice" w:id="1">
    <w:p w14:paraId="1C163218" w14:textId="77777777" w:rsidR="006A1BF9" w:rsidRDefault="006A1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860896" w:rsidRDefault="00860896">
        <w:pPr>
          <w:pStyle w:val="Rodap"/>
          <w:jc w:val="right"/>
        </w:pPr>
        <w:r>
          <w:fldChar w:fldCharType="begin"/>
        </w:r>
        <w:r>
          <w:instrText>PAGE   \* MERGEFORMAT</w:instrText>
        </w:r>
        <w:r>
          <w:fldChar w:fldCharType="separate"/>
        </w:r>
        <w:r w:rsidR="00896465">
          <w:rPr>
            <w:noProof/>
          </w:rPr>
          <w:t>17</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29782" w14:textId="77777777" w:rsidR="006A1BF9" w:rsidRDefault="006A1BF9" w:rsidP="00FB4507">
      <w:pPr>
        <w:rPr>
          <w:rFonts w:ascii="Cambria" w:hAnsi="Cambria"/>
        </w:rPr>
      </w:pPr>
      <w:r>
        <w:rPr>
          <w:rFonts w:ascii="Cambria" w:hAnsi="Cambria"/>
        </w:rPr>
        <w:separator/>
      </w:r>
    </w:p>
  </w:footnote>
  <w:footnote w:type="continuationSeparator" w:id="0">
    <w:p w14:paraId="7A733AA6" w14:textId="77777777" w:rsidR="006A1BF9" w:rsidRDefault="006A1BF9" w:rsidP="00FB4507">
      <w:pPr>
        <w:rPr>
          <w:rFonts w:ascii="Cambria" w:hAnsi="Cambria"/>
        </w:rPr>
      </w:pPr>
      <w:r>
        <w:rPr>
          <w:rFonts w:ascii="Cambria" w:hAnsi="Cambria"/>
        </w:rPr>
        <w:continuationSeparator/>
      </w:r>
    </w:p>
  </w:footnote>
  <w:footnote w:type="continuationNotice" w:id="1">
    <w:p w14:paraId="11427003" w14:textId="77777777" w:rsidR="006A1BF9" w:rsidRDefault="006A1B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0CA9"/>
    <w:rsid w:val="006A1BF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72483624-F04C-43EF-A7A2-75FA3C4A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E954B9-01A2-4087-9C0E-32CAFF5F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11677</TotalTime>
  <Pages>1</Pages>
  <Words>11234</Words>
  <Characters>60668</Characters>
  <Application>Microsoft Office Word</Application>
  <DocSecurity>0</DocSecurity>
  <Lines>505</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4</cp:revision>
  <cp:lastPrinted>2022-06-18T15:55:00Z</cp:lastPrinted>
  <dcterms:created xsi:type="dcterms:W3CDTF">2022-06-16T18:30:00Z</dcterms:created>
  <dcterms:modified xsi:type="dcterms:W3CDTF">2022-08-17T19:08:00Z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