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4495E">
            <w:pPr>
              <w:pStyle w:val="PargrafodaLista"/>
              <w:numPr>
                <w:ilvl w:val="0"/>
                <w:numId w:val="24"/>
              </w:numPr>
              <w:ind w:left="0" w:firstLine="0"/>
              <w:jc w:val="both"/>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 xml:space="preserve">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lastRenderedPageBreak/>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3F1F92" w:rsidRPr="003F1F92">
              <w:rPr>
                <w:rFonts w:ascii="Calibri" w:hAnsi="Calibri"/>
                <w:color w:val="000000"/>
              </w:rPr>
              <w:t xml:space="preserve">O índice de reajuste disposto no item 4.6. </w:t>
            </w:r>
            <w:proofErr w:type="gramStart"/>
            <w:r w:rsidR="003F1F92" w:rsidRPr="003F1F92">
              <w:rPr>
                <w:rFonts w:ascii="Calibri" w:hAnsi="Calibri"/>
                <w:color w:val="000000"/>
              </w:rPr>
              <w:t>será</w:t>
            </w:r>
            <w:proofErr w:type="gramEnd"/>
            <w:r w:rsidR="003F1F92" w:rsidRPr="003F1F92">
              <w:rPr>
                <w:rFonts w:ascii="Calibri" w:hAnsi="Calibri"/>
                <w:color w:val="000000"/>
              </w:rPr>
              <w:t xml:space="preserve">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289AA974"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sidR="00445E6D">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3A86611E" w:rsidR="00B955B9" w:rsidRDefault="00B955B9" w:rsidP="0014003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w:t>
            </w:r>
            <w:r w:rsidR="00140034">
              <w:rPr>
                <w:rFonts w:ascii="Calibri" w:hAnsi="Calibri"/>
                <w:color w:val="000000"/>
                <w:sz w:val="22"/>
                <w:szCs w:val="22"/>
              </w:rPr>
              <w:t>I</w:t>
            </w:r>
            <w:r w:rsidR="00140034" w:rsidRPr="00140034">
              <w:rPr>
                <w:rFonts w:ascii="Calibri" w:hAnsi="Calibri"/>
                <w:color w:val="000000"/>
                <w:sz w:val="22"/>
                <w:szCs w:val="22"/>
              </w:rPr>
              <w:t>nscrição</w:t>
            </w:r>
            <w:r w:rsidR="004E0AAC" w:rsidRPr="004E0AAC">
              <w:rPr>
                <w:rFonts w:ascii="Calibri" w:hAnsi="Calibri"/>
                <w:color w:val="000000"/>
                <w:sz w:val="22"/>
                <w:szCs w:val="22"/>
              </w:rPr>
              <w:t xml:space="preserve"> municipal/c</w:t>
            </w:r>
            <w:bookmarkStart w:id="0" w:name="_GoBack"/>
            <w:bookmarkEnd w:id="0"/>
            <w:r w:rsidR="004E0AAC" w:rsidRPr="004E0AAC">
              <w:rPr>
                <w:rFonts w:ascii="Calibri" w:hAnsi="Calibri"/>
                <w:color w:val="000000"/>
                <w:sz w:val="22"/>
                <w:szCs w:val="22"/>
              </w:rPr>
              <w:t>adastro:</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lastRenderedPageBreak/>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w:t>
      </w:r>
      <w:r w:rsidRPr="00D4670E">
        <w:rPr>
          <w:rFonts w:ascii="Calibri" w:hAnsi="Calibri"/>
          <w:szCs w:val="22"/>
        </w:rPr>
        <w:lastRenderedPageBreak/>
        <w:t>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proofErr w:type="gramStart"/>
      <w:r w:rsidR="00D01629" w:rsidRPr="00D01629">
        <w:rPr>
          <w:rFonts w:ascii="Calibri" w:hAnsi="Calibri"/>
          <w:szCs w:val="22"/>
        </w:rPr>
        <w:t>O(</w:t>
      </w:r>
      <w:proofErr w:type="gramEnd"/>
      <w:r w:rsidR="00D01629" w:rsidRPr="00D01629">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D01629" w:rsidRPr="00D01629">
        <w:rPr>
          <w:rFonts w:ascii="Calibri" w:hAnsi="Calibri"/>
          <w:szCs w:val="22"/>
        </w:rPr>
        <w:t>s,a,as</w:t>
      </w:r>
      <w:proofErr w:type="spellEnd"/>
      <w:r w:rsidR="00D01629" w:rsidRPr="00D01629">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lastRenderedPageBreak/>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xml:space="preserve">) dos valores da prestação mensal </w:t>
      </w:r>
      <w:r w:rsidR="00BD410F" w:rsidRPr="00BD410F">
        <w:rPr>
          <w:rFonts w:asciiTheme="minorHAnsi" w:hAnsiTheme="minorHAnsi"/>
          <w:szCs w:val="24"/>
        </w:rPr>
        <w:lastRenderedPageBreak/>
        <w:t>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w:t>
      </w:r>
      <w:r w:rsidRPr="00E47862">
        <w:rPr>
          <w:rFonts w:asciiTheme="minorHAnsi" w:hAnsiTheme="minorHAnsi"/>
        </w:rPr>
        <w:lastRenderedPageBreak/>
        <w:t xml:space="preserve">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 xml:space="preserve">despesas havidas pelo CREDOR para a cobrança extrajudicial bem como com a notificação </w:t>
      </w:r>
      <w:r w:rsidRPr="005B6E83">
        <w:rPr>
          <w:rFonts w:asciiTheme="minorHAnsi" w:hAnsiTheme="minorHAnsi"/>
          <w:bCs/>
        </w:rPr>
        <w:lastRenderedPageBreak/>
        <w:t>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 xml:space="preserve">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w:t>
      </w:r>
      <w:r w:rsidRPr="00E47862">
        <w:rPr>
          <w:rFonts w:asciiTheme="minorHAnsi" w:hAnsiTheme="minorHAnsi"/>
          <w:sz w:val="24"/>
          <w:szCs w:val="24"/>
        </w:rPr>
        <w:lastRenderedPageBreak/>
        <w:t>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w:t>
      </w:r>
      <w:r w:rsidRPr="00E47862">
        <w:rPr>
          <w:rFonts w:asciiTheme="minorHAnsi" w:hAnsiTheme="minorHAnsi"/>
        </w:rPr>
        <w:lastRenderedPageBreak/>
        <w:t xml:space="preserve">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D01629" w:rsidRPr="00D01629">
        <w:rPr>
          <w:rFonts w:asciiTheme="minorHAnsi" w:hAnsiTheme="minorHAnsi"/>
        </w:rPr>
        <w:t>O(s) DEVEDOR(ES) deverá(</w:t>
      </w:r>
      <w:proofErr w:type="spellStart"/>
      <w:r w:rsidR="00D01629" w:rsidRPr="00D01629">
        <w:rPr>
          <w:rFonts w:asciiTheme="minorHAnsi" w:hAnsiTheme="minorHAnsi"/>
        </w:rPr>
        <w:t>ão</w:t>
      </w:r>
      <w:proofErr w:type="spellEnd"/>
      <w:r w:rsidR="00D01629" w:rsidRPr="00D01629">
        <w:rPr>
          <w:rFonts w:asciiTheme="minorHAnsi" w:hAnsiTheme="minorHAnsi"/>
        </w:rPr>
        <w:t>) desocupar o imóvel até a data da realização do primeiro público leilão, deixando-o livre e desimpedido de pessoas e coisas. O(s) DEVEDOR(ES) pagará(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D01629" w:rsidRPr="00D01629">
        <w:rPr>
          <w:rFonts w:asciiTheme="minorHAnsi" w:hAnsiTheme="minorHAnsi"/>
        </w:rPr>
        <w:t>fiduciante</w:t>
      </w:r>
      <w:proofErr w:type="spellEnd"/>
      <w:r w:rsidR="00D01629" w:rsidRPr="00D01629">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w:t>
      </w:r>
      <w:r w:rsidRPr="00E47862">
        <w:rPr>
          <w:rFonts w:asciiTheme="minorHAnsi" w:hAnsiTheme="minorHAnsi"/>
          <w:bCs/>
        </w:rPr>
        <w:lastRenderedPageBreak/>
        <w:t>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96D2A" w14:textId="77777777" w:rsidR="00EB64C6" w:rsidRDefault="00EB64C6" w:rsidP="00FB4507">
      <w:pPr>
        <w:rPr>
          <w:rFonts w:ascii="Cambria" w:hAnsi="Cambria"/>
        </w:rPr>
      </w:pPr>
      <w:r>
        <w:rPr>
          <w:rFonts w:ascii="Cambria" w:hAnsi="Cambria"/>
        </w:rPr>
        <w:separator/>
      </w:r>
    </w:p>
  </w:endnote>
  <w:endnote w:type="continuationSeparator" w:id="0">
    <w:p w14:paraId="7B6CCAC8" w14:textId="77777777" w:rsidR="00EB64C6" w:rsidRDefault="00EB64C6" w:rsidP="00FB4507">
      <w:pPr>
        <w:rPr>
          <w:rFonts w:ascii="Cambria" w:hAnsi="Cambria"/>
        </w:rPr>
      </w:pPr>
      <w:r>
        <w:rPr>
          <w:rFonts w:ascii="Cambria" w:hAnsi="Cambria"/>
        </w:rPr>
        <w:continuationSeparator/>
      </w:r>
    </w:p>
  </w:endnote>
  <w:endnote w:type="continuationNotice" w:id="1">
    <w:p w14:paraId="4A2F1B5B" w14:textId="77777777" w:rsidR="00EB64C6" w:rsidRDefault="00EB6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140034">
          <w:rPr>
            <w:noProof/>
          </w:rPr>
          <w:t>4</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AE5C3" w14:textId="77777777" w:rsidR="00EB64C6" w:rsidRDefault="00EB64C6" w:rsidP="00FB4507">
      <w:pPr>
        <w:rPr>
          <w:rFonts w:ascii="Cambria" w:hAnsi="Cambria"/>
        </w:rPr>
      </w:pPr>
      <w:r>
        <w:rPr>
          <w:rFonts w:ascii="Cambria" w:hAnsi="Cambria"/>
        </w:rPr>
        <w:separator/>
      </w:r>
    </w:p>
  </w:footnote>
  <w:footnote w:type="continuationSeparator" w:id="0">
    <w:p w14:paraId="342A7C33" w14:textId="77777777" w:rsidR="00EB64C6" w:rsidRDefault="00EB64C6" w:rsidP="00FB4507">
      <w:pPr>
        <w:rPr>
          <w:rFonts w:ascii="Cambria" w:hAnsi="Cambria"/>
        </w:rPr>
      </w:pPr>
      <w:r>
        <w:rPr>
          <w:rFonts w:ascii="Cambria" w:hAnsi="Cambria"/>
        </w:rPr>
        <w:continuationSeparator/>
      </w:r>
    </w:p>
  </w:footnote>
  <w:footnote w:type="continuationNotice" w:id="1">
    <w:p w14:paraId="51423FAD" w14:textId="77777777" w:rsidR="00EB64C6" w:rsidRDefault="00EB64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39"/>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0034"/>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56AE"/>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45E6D"/>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0AAC"/>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4C6"/>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0E0113-248D-40C5-A3E7-88BB479DE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27</Pages>
  <Words>11630</Words>
  <Characters>62807</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82</cp:revision>
  <cp:lastPrinted>2022-06-18T15:55:00Z</cp:lastPrinted>
  <dcterms:created xsi:type="dcterms:W3CDTF">2022-06-16T18:30:00Z</dcterms:created>
  <dcterms:modified xsi:type="dcterms:W3CDTF">2023-06-02T20:04:00Z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