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3A153F03" w:rsidR="007770F7" w:rsidRPr="007770F7" w:rsidRDefault="007770F7" w:rsidP="007770F7">
            <w:pPr>
              <w:pStyle w:val="PargrafodaLista"/>
              <w:numPr>
                <w:ilvl w:val="0"/>
                <w:numId w:val="24"/>
              </w:numPr>
              <w:ind w:left="0" w:firstLine="0"/>
              <w:rPr>
                <w:rFonts w:asciiTheme="minorHAnsi" w:hAnsiTheme="minorHAnsi" w:cstheme="minorHAnsi"/>
                <w:color w:val="000000"/>
              </w:rPr>
            </w:pPr>
            <w:r w:rsidRPr="007770F7">
              <w:rPr>
                <w:rFonts w:asciiTheme="minorHAnsi" w:hAnsiTheme="minorHAnsi" w:cstheme="minorHAnsi"/>
                <w:b/>
              </w:rPr>
              <w:t>BMP SOCIEDADE DE CRÉDITO DIRETO S. A</w:t>
            </w:r>
            <w:r w:rsidRPr="007770F7">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7770F7">
              <w:rPr>
                <w:rFonts w:asciiTheme="minorHAnsi" w:hAnsiTheme="minorHAnsi" w:cstheme="minorHAnsi"/>
                <w:b/>
              </w:rPr>
              <w:t>CARLOS EDUARDO BENITEZ</w:t>
            </w:r>
            <w:r w:rsidRPr="007770F7">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7770F7">
              <w:rPr>
                <w:rFonts w:asciiTheme="minorHAnsi" w:hAnsiTheme="minorHAnsi" w:cstheme="minorHAnsi"/>
                <w:b/>
              </w:rPr>
              <w:t>DANIEL CARLOS CESARINO</w:t>
            </w:r>
            <w:r w:rsidRPr="007770F7">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w:t>
            </w:r>
            <w:r>
              <w:rPr>
                <w:rFonts w:ascii="Calibri" w:hAnsi="Calibri"/>
                <w:color w:val="000000"/>
              </w:rPr>
              <w:lastRenderedPageBreak/>
              <w:t>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lastRenderedPageBreak/>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4D831FD4" w:rsidR="0066055C" w:rsidRDefault="0066055C">
            <w:pPr>
              <w:rPr>
                <w:rFonts w:ascii="Calibri" w:hAnsi="Calibri"/>
                <w:color w:val="000000"/>
                <w:sz w:val="22"/>
                <w:szCs w:val="22"/>
              </w:rPr>
            </w:pPr>
            <w:r>
              <w:rPr>
                <w:rFonts w:ascii="Calibri" w:hAnsi="Calibri"/>
                <w:color w:val="000000"/>
                <w:sz w:val="22"/>
                <w:szCs w:val="22"/>
              </w:rPr>
              <w:t>IPCA (IBGE)</w:t>
            </w:r>
            <w:r w:rsidR="00173DD7">
              <w:rPr>
                <w:rFonts w:ascii="Calibri" w:hAnsi="Calibri"/>
                <w:color w:val="000000"/>
                <w:sz w:val="22"/>
                <w:szCs w:val="22"/>
              </w:rPr>
              <w:t xml:space="preserve"> </w:t>
            </w:r>
            <w:r w:rsidR="00173DD7" w:rsidRPr="00173DD7">
              <w:rPr>
                <w:rFonts w:ascii="Calibri" w:hAnsi="Calibri"/>
                <w:color w:val="000000"/>
                <w:sz w:val="22"/>
                <w:szCs w:val="22"/>
              </w:rPr>
              <w:t>sobre o saldo devedor de forma mensal a ser cobrado junto com a parcela mensal.</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r w:rsidRPr="00BC4CA2">
              <w:rPr>
                <w:rFonts w:ascii="Calibri" w:hAnsi="Calibri"/>
                <w:color w:val="000000"/>
                <w:sz w:val="22"/>
                <w:szCs w:val="22"/>
              </w:rPr>
              <w:t xml:space="preserve">totalPrimeiraParcela </w:t>
            </w:r>
            <w:r w:rsidR="00B955B9" w:rsidRPr="00647EC6">
              <w:rPr>
                <w:rFonts w:ascii="Calibri" w:hAnsi="Calibri"/>
                <w:color w:val="000000"/>
                <w:sz w:val="22"/>
                <w:szCs w:val="22"/>
              </w:rPr>
              <w:t>(</w:t>
            </w:r>
            <w:r w:rsidR="00B955B9" w:rsidRPr="00322805">
              <w:rPr>
                <w:rFonts w:ascii="Calibri" w:hAnsi="Calibri"/>
                <w:color w:val="000000"/>
                <w:sz w:val="22"/>
                <w:szCs w:val="22"/>
              </w:rPr>
              <w:t>ExtensoTotalPrimeiraParcela</w:t>
            </w:r>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lastRenderedPageBreak/>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bookmarkStart w:id="0" w:name="_GoBack"/>
            <w:bookmarkEnd w:id="0"/>
            <w:r w:rsidRPr="00700597">
              <w:rPr>
                <w:rFonts w:ascii="Calibri" w:hAnsi="Calibri"/>
                <w:color w:val="000000"/>
                <w:sz w:val="22"/>
                <w:szCs w:val="22"/>
              </w:rPr>
              <w:t>serieCcb</w:t>
            </w:r>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r w:rsidRPr="00807EF0">
              <w:rPr>
                <w:rFonts w:ascii="Calibri" w:hAnsi="Calibri"/>
                <w:color w:val="000000"/>
                <w:sz w:val="22"/>
                <w:szCs w:val="22"/>
              </w:rPr>
              <w:t>numeroCCB</w:t>
            </w:r>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lastRenderedPageBreak/>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5BBAE659" w:rsidR="0066055C" w:rsidRPr="0032338D" w:rsidRDefault="007770F7" w:rsidP="0066055C">
            <w:pPr>
              <w:jc w:val="both"/>
              <w:rPr>
                <w:rFonts w:asciiTheme="minorHAnsi" w:hAnsiTheme="minorHAnsi" w:cstheme="minorHAnsi"/>
              </w:rPr>
            </w:pPr>
            <w:r w:rsidRPr="0032338D">
              <w:rPr>
                <w:rFonts w:asciiTheme="minorHAnsi" w:hAnsiTheme="minorHAnsi" w:cstheme="minorHAnsi"/>
              </w:rPr>
              <w:t>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77777777"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das parcelas mensais será apurado considerando a soma: (i) dos valores da prestação mensal de amortização e juros, reajustado pelo índice indicado </w:t>
      </w:r>
      <w:bookmarkStart w:id="1" w:name="_Hlk106291621"/>
      <w:r w:rsidRPr="00E47862">
        <w:rPr>
          <w:rFonts w:asciiTheme="minorHAnsi" w:hAnsiTheme="minorHAnsi"/>
          <w:szCs w:val="24"/>
        </w:rPr>
        <w:t xml:space="preserve">no item </w:t>
      </w:r>
      <w:r w:rsidRPr="00E47862">
        <w:rPr>
          <w:rFonts w:asciiTheme="minorHAnsi" w:hAnsiTheme="minorHAnsi"/>
          <w:b/>
        </w:rPr>
        <w:t>4.6.</w:t>
      </w:r>
      <w:r w:rsidRPr="00E47862">
        <w:rPr>
          <w:rFonts w:asciiTheme="minorHAnsi" w:hAnsiTheme="minorHAnsi"/>
          <w:szCs w:val="24"/>
        </w:rPr>
        <w:t xml:space="preserve"> </w:t>
      </w:r>
      <w:bookmarkEnd w:id="1"/>
      <w:r w:rsidRPr="00E47862">
        <w:rPr>
          <w:rFonts w:asciiTheme="minorHAnsi" w:hAnsiTheme="minorHAnsi"/>
          <w:szCs w:val="24"/>
        </w:rPr>
        <w:t xml:space="preserve">do </w:t>
      </w:r>
      <w:r w:rsidRPr="00E47862">
        <w:rPr>
          <w:rFonts w:asciiTheme="minorHAnsi" w:hAnsiTheme="minorHAnsi"/>
        </w:rPr>
        <w:t>QUADRO RESUMO</w:t>
      </w:r>
      <w:r>
        <w:rPr>
          <w:rFonts w:asciiTheme="minorHAnsi" w:hAnsiTheme="minorHAnsi"/>
        </w:rPr>
        <w:t xml:space="preserve">, </w:t>
      </w:r>
      <w:r w:rsidRPr="00BF70B4">
        <w:rPr>
          <w:rFonts w:asciiTheme="minorHAnsi" w:hAnsiTheme="minorHAnsi"/>
        </w:rPr>
        <w:t>calculado sobre o saldo devedor</w:t>
      </w:r>
      <w:r w:rsidRPr="00E47862">
        <w:rPr>
          <w:rFonts w:asciiTheme="minorHAnsi" w:hAnsiTheme="minorHAnsi"/>
          <w:b/>
        </w:rPr>
        <w:t xml:space="preserve">; </w:t>
      </w:r>
      <w:r w:rsidRPr="00E47862">
        <w:rPr>
          <w:rFonts w:asciiTheme="minorHAnsi" w:hAnsiTheme="minorHAnsi"/>
        </w:rPr>
        <w:t>(ii)</w:t>
      </w:r>
      <w:r w:rsidRPr="00E47862">
        <w:rPr>
          <w:rFonts w:asciiTheme="minorHAnsi" w:hAnsiTheme="minorHAnsi"/>
          <w:b/>
        </w:rPr>
        <w:t xml:space="preserve"> </w:t>
      </w:r>
      <w:r w:rsidRPr="00E47862">
        <w:rPr>
          <w:rFonts w:asciiTheme="minorHAnsi" w:hAnsiTheme="minorHAnsi"/>
          <w:szCs w:val="24"/>
        </w:rPr>
        <w:t>do valor mensal de seguro de danos físicos ao imóvel; (iii) do valor</w:t>
      </w:r>
      <w:r w:rsidRPr="00E47862">
        <w:rPr>
          <w:rFonts w:asciiTheme="minorHAnsi" w:hAnsiTheme="minorHAnsi"/>
          <w:bCs/>
          <w:szCs w:val="24"/>
        </w:rPr>
        <w:t xml:space="preserve"> mensal de seguro de morte e invalidez permanente e (iv) do valor da Tarifa de Administração Mensal do Contrato. As </w:t>
      </w:r>
      <w:r w:rsidRPr="00E47862">
        <w:rPr>
          <w:rFonts w:asciiTheme="minorHAnsi" w:hAnsiTheme="minorHAnsi"/>
        </w:rPr>
        <w:t xml:space="preserve">parcelas serão calculadas pelo Sistema de Amortização definido no item </w:t>
      </w:r>
      <w:r w:rsidRPr="00E47862">
        <w:rPr>
          <w:rFonts w:asciiTheme="minorHAnsi" w:hAnsiTheme="minorHAnsi"/>
          <w:b/>
          <w:bCs/>
        </w:rPr>
        <w:t>4.7</w:t>
      </w:r>
      <w:r w:rsidRPr="00E47862">
        <w:rPr>
          <w:rFonts w:asciiTheme="minorHAnsi" w:hAnsiTheme="minorHAnsi"/>
          <w:b/>
        </w:rPr>
        <w:t>.</w:t>
      </w:r>
      <w:r w:rsidRPr="00E47862">
        <w:rPr>
          <w:rFonts w:asciiTheme="minorHAnsi" w:hAnsiTheme="minorHAnsi"/>
          <w:b/>
          <w:bCs/>
        </w:rPr>
        <w:t xml:space="preserve"> </w:t>
      </w:r>
      <w:r w:rsidRPr="00E47862">
        <w:rPr>
          <w:rFonts w:asciiTheme="minorHAnsi" w:hAnsiTheme="minorHAnsi"/>
        </w:rPr>
        <w:t xml:space="preserve">do QUADRO RESUMO. </w:t>
      </w:r>
    </w:p>
    <w:p w14:paraId="408856BE" w14:textId="77777777" w:rsidR="00F375B9" w:rsidRDefault="00F375B9" w:rsidP="00F375B9">
      <w:pPr>
        <w:pStyle w:val="Corpodetexto"/>
        <w:spacing w:line="288" w:lineRule="auto"/>
        <w:rPr>
          <w:rFonts w:ascii="Times New Roman" w:hAnsi="Times New Roman"/>
          <w:szCs w:val="24"/>
        </w:rPr>
      </w:pPr>
    </w:p>
    <w:p w14:paraId="497490DD" w14:textId="77777777"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Pr="00BF70B4">
        <w:rPr>
          <w:rFonts w:asciiTheme="minorHAnsi" w:hAnsiTheme="minorHAnsi"/>
        </w:rPr>
        <w:t>Na hipótese de carência para o primeiro pagamento a atualização do saldo devedor durante esse período de carência será cobrado de uma só vez junto com a primeira parcela do financiamento.</w:t>
      </w:r>
    </w:p>
    <w:p w14:paraId="17E63FF6" w14:textId="77777777" w:rsidR="00F375B9" w:rsidRDefault="00F375B9" w:rsidP="00F375B9">
      <w:pPr>
        <w:pStyle w:val="Corpodetexto"/>
        <w:rPr>
          <w:rFonts w:asciiTheme="minorHAnsi" w:hAnsiTheme="minorHAnsi"/>
        </w:rPr>
      </w:pPr>
    </w:p>
    <w:p w14:paraId="2D08CA58" w14:textId="77307364"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Conforme estipulado no item </w:t>
      </w:r>
      <w:r w:rsidRPr="00BF70B4">
        <w:rPr>
          <w:rFonts w:asciiTheme="minorHAnsi" w:hAnsiTheme="minorHAnsi"/>
          <w:b/>
        </w:rPr>
        <w:t>4.6.</w:t>
      </w:r>
      <w:r w:rsidRPr="00BF70B4">
        <w:rPr>
          <w:rFonts w:asciiTheme="minorHAnsi" w:hAnsiTheme="minorHAnsi"/>
        </w:rPr>
        <w:t xml:space="preserve"> do QUADRO RESUMO, o saldo devedor será atualizado mensalmente pelo índice IPCA/IBGE desde a assinatura do presente instrumento e essa atualização será cobrada de forma mensal junto com as parcelas mensais do financiamento.</w:t>
      </w:r>
    </w:p>
    <w:p w14:paraId="18C7B7EB" w14:textId="77777777" w:rsidR="00F375B9" w:rsidRPr="00406104" w:rsidRDefault="00F375B9" w:rsidP="00F375B9">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lastRenderedPageBreak/>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xml:space="preserve">) dias contados do recebimento de comunicação para tanto, sendo que sobre o valor correspondente serão aplicáveis as mesmas penalidades a que está(ão) sujeito(s) o(s) DEVEDOR(ES) </w:t>
      </w:r>
      <w:r w:rsidR="0017470F" w:rsidRPr="00E47862">
        <w:rPr>
          <w:rFonts w:asciiTheme="minorHAnsi" w:hAnsiTheme="minorHAnsi"/>
        </w:rPr>
        <w:lastRenderedPageBreak/>
        <w:t>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lastRenderedPageBreak/>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Pr="00761445">
        <w:rPr>
          <w:rFonts w:asciiTheme="minorHAnsi" w:hAnsiTheme="minorHAnsi" w:cstheme="minorHAnsi"/>
        </w:rPr>
        <w:t>nomeEmitente</w:t>
      </w:r>
      <w:r w:rsidRPr="00763EE9">
        <w:rPr>
          <w:rFonts w:asciiTheme="minorHAnsi" w:hAnsiTheme="minorHAnsi" w:cstheme="minorHAnsi"/>
        </w:rPr>
        <w:t xml:space="preserve"> contratadas no âmbito desta Cédula de Crédito, o valor do(s) Imóvel(eis) deverá(ão) ser equivalente a, pelo menos, </w:t>
      </w:r>
      <w:r w:rsidR="008C05B0" w:rsidRPr="008C05B0">
        <w:rPr>
          <w:rFonts w:asciiTheme="minorHAnsi" w:hAnsiTheme="minorHAnsi" w:cstheme="minorHAnsi"/>
          <w:b/>
        </w:rPr>
        <w:t>porcentagemImovel</w:t>
      </w:r>
      <w:r w:rsidRPr="00763EE9">
        <w:rPr>
          <w:rFonts w:asciiTheme="minorHAnsi" w:hAnsiTheme="minorHAnsi" w:cstheme="minorHAnsi"/>
        </w:rPr>
        <w:t>% (</w:t>
      </w:r>
      <w:r w:rsidR="005A1505" w:rsidRPr="005A1505">
        <w:rPr>
          <w:rFonts w:asciiTheme="minorHAnsi" w:hAnsiTheme="minorHAnsi" w:cstheme="minorHAnsi"/>
        </w:rPr>
        <w:t>ExtensoPorcentagemImovel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00100458" w:rsidRPr="00100458">
              <w:rPr>
                <w:rFonts w:asciiTheme="minorHAnsi" w:hAnsiTheme="minorHAnsi" w:cstheme="minorHAnsi"/>
              </w:rPr>
              <w:t>tipoParticipanteEmitente</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6B3D" w14:textId="77777777" w:rsidR="004C76E8" w:rsidRDefault="004C76E8" w:rsidP="00FB4507">
      <w:pPr>
        <w:rPr>
          <w:rFonts w:ascii="Cambria" w:hAnsi="Cambria"/>
        </w:rPr>
      </w:pPr>
      <w:r>
        <w:rPr>
          <w:rFonts w:ascii="Cambria" w:hAnsi="Cambria"/>
        </w:rPr>
        <w:separator/>
      </w:r>
    </w:p>
  </w:endnote>
  <w:endnote w:type="continuationSeparator" w:id="0">
    <w:p w14:paraId="42E1F770" w14:textId="77777777" w:rsidR="004C76E8" w:rsidRDefault="004C76E8" w:rsidP="00FB4507">
      <w:pPr>
        <w:rPr>
          <w:rFonts w:ascii="Cambria" w:hAnsi="Cambria"/>
        </w:rPr>
      </w:pPr>
      <w:r>
        <w:rPr>
          <w:rFonts w:ascii="Cambria" w:hAnsi="Cambria"/>
        </w:rPr>
        <w:continuationSeparator/>
      </w:r>
    </w:p>
  </w:endnote>
  <w:endnote w:type="continuationNotice" w:id="1">
    <w:p w14:paraId="7C774189" w14:textId="77777777" w:rsidR="004C76E8" w:rsidRDefault="004C7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700597">
          <w:rPr>
            <w:noProof/>
          </w:rPr>
          <w:t>2</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A3061" w14:textId="77777777" w:rsidR="004C76E8" w:rsidRDefault="004C76E8" w:rsidP="00FB4507">
      <w:pPr>
        <w:rPr>
          <w:rFonts w:ascii="Cambria" w:hAnsi="Cambria"/>
        </w:rPr>
      </w:pPr>
      <w:r>
        <w:rPr>
          <w:rFonts w:ascii="Cambria" w:hAnsi="Cambria"/>
        </w:rPr>
        <w:separator/>
      </w:r>
    </w:p>
  </w:footnote>
  <w:footnote w:type="continuationSeparator" w:id="0">
    <w:p w14:paraId="76498122" w14:textId="77777777" w:rsidR="004C76E8" w:rsidRDefault="004C76E8" w:rsidP="00FB4507">
      <w:pPr>
        <w:rPr>
          <w:rFonts w:ascii="Cambria" w:hAnsi="Cambria"/>
        </w:rPr>
      </w:pPr>
      <w:r>
        <w:rPr>
          <w:rFonts w:ascii="Cambria" w:hAnsi="Cambria"/>
        </w:rPr>
        <w:continuationSeparator/>
      </w:r>
    </w:p>
  </w:footnote>
  <w:footnote w:type="continuationNotice" w:id="1">
    <w:p w14:paraId="0201A84E" w14:textId="77777777" w:rsidR="004C76E8" w:rsidRDefault="004C76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925B67-44D0-4B24-A38F-325CAE81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27</Pages>
  <Words>11622</Words>
  <Characters>62763</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74</cp:revision>
  <cp:lastPrinted>2022-06-18T15:55:00Z</cp:lastPrinted>
  <dcterms:created xsi:type="dcterms:W3CDTF">2022-06-16T18:30:00Z</dcterms:created>
  <dcterms:modified xsi:type="dcterms:W3CDTF">2022-12-09T16:11:00Z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