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7AA3D5FF" w:rsidR="0066055C" w:rsidRDefault="00B955B9">
            <w:pPr>
              <w:rPr>
                <w:rFonts w:ascii="Calibri" w:hAnsi="Calibri"/>
                <w:color w:val="000000"/>
                <w:sz w:val="22"/>
                <w:szCs w:val="22"/>
              </w:rPr>
            </w:pPr>
            <w:r w:rsidRPr="00860896">
              <w:rPr>
                <w:rFonts w:ascii="Calibri" w:hAnsi="Calibri"/>
                <w:color w:val="000000"/>
                <w:sz w:val="22"/>
                <w:szCs w:val="22"/>
              </w:rPr>
              <w:t>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281EADB5"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11E2D81C" w:rsidR="0066055C" w:rsidRDefault="00B955B9">
            <w:pPr>
              <w:rPr>
                <w:rFonts w:ascii="Calibri" w:hAnsi="Calibri"/>
                <w:color w:val="000000"/>
                <w:sz w:val="22"/>
                <w:szCs w:val="22"/>
              </w:rPr>
            </w:pPr>
            <w:r w:rsidRPr="00860896">
              <w:rPr>
                <w:rFonts w:ascii="Calibri" w:hAnsi="Calibri"/>
                <w:color w:val="000000"/>
                <w:sz w:val="22"/>
                <w:szCs w:val="22"/>
              </w:rPr>
              <w:t>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1972F385" w:rsidR="00B955B9" w:rsidRDefault="00B955B9" w:rsidP="00B955B9">
            <w:pPr>
              <w:rPr>
                <w:rFonts w:ascii="Calibri" w:hAnsi="Calibri"/>
                <w:color w:val="000000"/>
                <w:sz w:val="22"/>
                <w:szCs w:val="22"/>
              </w:rPr>
            </w:pPr>
            <w:r w:rsidRPr="00860896">
              <w:rPr>
                <w:rFonts w:ascii="Calibri" w:hAnsi="Calibri"/>
                <w:color w:val="000000"/>
                <w:sz w:val="22"/>
                <w:szCs w:val="22"/>
              </w:rPr>
              <w:t>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715B60A2"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777777" w:rsidR="0066055C" w:rsidRDefault="0066055C">
            <w:pPr>
              <w:rPr>
                <w:rFonts w:ascii="Calibri" w:hAnsi="Calibri"/>
                <w:color w:val="000000"/>
                <w:sz w:val="22"/>
                <w:szCs w:val="22"/>
              </w:rPr>
            </w:pPr>
            <w:r>
              <w:rPr>
                <w:rFonts w:ascii="Calibri" w:hAnsi="Calibri"/>
                <w:color w:val="000000"/>
                <w:sz w:val="22"/>
                <w:szCs w:val="22"/>
              </w:rPr>
              <w:t>R$ 25,00</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30363802" w:rsidR="00B955B9" w:rsidRDefault="00B955B9" w:rsidP="00B955B9">
            <w:pPr>
              <w:rPr>
                <w:rFonts w:ascii="Calibri" w:hAnsi="Calibri"/>
                <w:color w:val="000000"/>
                <w:sz w:val="22"/>
                <w:szCs w:val="22"/>
              </w:rPr>
            </w:pPr>
            <w:r w:rsidRPr="00647EC6">
              <w:rPr>
                <w:rFonts w:ascii="Calibri" w:hAnsi="Calibri"/>
                <w:color w:val="000000"/>
                <w:sz w:val="22"/>
                <w:szCs w:val="22"/>
              </w:rPr>
              <w:t>totalPrimeiraParcela (</w:t>
            </w:r>
            <w:r w:rsidRPr="00322805">
              <w:rPr>
                <w:rFonts w:ascii="Calibri" w:hAnsi="Calibri"/>
                <w:color w:val="000000"/>
                <w:sz w:val="22"/>
                <w:szCs w:val="22"/>
              </w:rPr>
              <w:t>ExtensoTotalPrimeiraParcela</w:t>
            </w:r>
            <w:r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bookmarkStart w:id="0" w:name="_GoBack"/>
            <w:bookmarkEnd w:id="0"/>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Planner Trustee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Encargos Motatório</w:t>
            </w:r>
            <w:r w:rsidR="00193DF5">
              <w:rPr>
                <w:rFonts w:ascii="Calibri" w:hAnsi="Calibri"/>
                <w:color w:val="000000"/>
                <w:sz w:val="22"/>
                <w:szCs w:val="22"/>
              </w:rPr>
              <w:t>s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o(s)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ii)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r w:rsidR="00A82E4E" w:rsidRPr="00E47862">
        <w:rPr>
          <w:rFonts w:asciiTheme="minorHAnsi" w:hAnsiTheme="minorHAnsi"/>
        </w:rPr>
        <w:t xml:space="preserve">iii)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 xml:space="preserve">O(s) DEVEDOR(ES) </w:t>
      </w:r>
      <w:r w:rsidRPr="00E47862">
        <w:rPr>
          <w:rFonts w:asciiTheme="minorHAnsi" w:hAnsiTheme="minorHAnsi"/>
          <w:b/>
        </w:rPr>
        <w:lastRenderedPageBreak/>
        <w:t>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xml:space="preserve">. Nesta hipótese, o(s) DEVEDOR(ES) deverá(ão)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527DE5FF"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D335FD6"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32D4E459"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E4A2D" w14:textId="77777777" w:rsidR="00AB6832" w:rsidRDefault="00AB6832" w:rsidP="00FB4507">
      <w:pPr>
        <w:rPr>
          <w:rFonts w:ascii="Cambria" w:hAnsi="Cambria"/>
        </w:rPr>
      </w:pPr>
      <w:r>
        <w:rPr>
          <w:rFonts w:ascii="Cambria" w:hAnsi="Cambria"/>
        </w:rPr>
        <w:separator/>
      </w:r>
    </w:p>
  </w:endnote>
  <w:endnote w:type="continuationSeparator" w:id="0">
    <w:p w14:paraId="13483C2B" w14:textId="77777777" w:rsidR="00AB6832" w:rsidRDefault="00AB6832" w:rsidP="00FB4507">
      <w:pPr>
        <w:rPr>
          <w:rFonts w:ascii="Cambria" w:hAnsi="Cambria"/>
        </w:rPr>
      </w:pPr>
      <w:r>
        <w:rPr>
          <w:rFonts w:ascii="Cambria" w:hAnsi="Cambria"/>
        </w:rPr>
        <w:continuationSeparator/>
      </w:r>
    </w:p>
  </w:endnote>
  <w:endnote w:type="continuationNotice" w:id="1">
    <w:p w14:paraId="06FE814E" w14:textId="77777777" w:rsidR="00AB6832" w:rsidRDefault="00AB6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340E79">
          <w:rPr>
            <w:noProof/>
          </w:rPr>
          <w:t>2</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86A61" w14:textId="77777777" w:rsidR="00AB6832" w:rsidRDefault="00AB6832" w:rsidP="00FB4507">
      <w:pPr>
        <w:rPr>
          <w:rFonts w:ascii="Cambria" w:hAnsi="Cambria"/>
        </w:rPr>
      </w:pPr>
      <w:r>
        <w:rPr>
          <w:rFonts w:ascii="Cambria" w:hAnsi="Cambria"/>
        </w:rPr>
        <w:separator/>
      </w:r>
    </w:p>
  </w:footnote>
  <w:footnote w:type="continuationSeparator" w:id="0">
    <w:p w14:paraId="5F218BB5" w14:textId="77777777" w:rsidR="00AB6832" w:rsidRDefault="00AB6832" w:rsidP="00FB4507">
      <w:pPr>
        <w:rPr>
          <w:rFonts w:ascii="Cambria" w:hAnsi="Cambria"/>
        </w:rPr>
      </w:pPr>
      <w:r>
        <w:rPr>
          <w:rFonts w:ascii="Cambria" w:hAnsi="Cambria"/>
        </w:rPr>
        <w:continuationSeparator/>
      </w:r>
    </w:p>
  </w:footnote>
  <w:footnote w:type="continuationNotice" w:id="1">
    <w:p w14:paraId="15853A81" w14:textId="77777777" w:rsidR="00AB6832" w:rsidRDefault="00AB68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925BEF26-D6A1-4D60-9B8B-1518E275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Pages>
  <Words>11224</Words>
  <Characters>60611</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48</cp:revision>
  <cp:lastPrinted>2022-06-18T15:55:00Z</cp:lastPrinted>
  <dcterms:created xsi:type="dcterms:W3CDTF">2022-06-16T18:30:00Z</dcterms:created>
  <dcterms:modified xsi:type="dcterms:W3CDTF">2022-07-15T13:36:00Z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