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#{dataGeracao}.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#{numeroMatricula}, registrado perante o #{numeroCartorio} #{cartorio} de #{cidadeCartorio} consistente em #{endereco},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pt-BR" w:eastAsia="en-US" w:bidi="ar-SA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highlight w:val="none"/>
                <w:shd w:fill="CCCCCC" w:val="clear"/>
              </w:rPr>
            </w:pPr>
            <w:r>
              <w:rPr>
                <w:rFonts w:cs="Calibri"/>
                <w:b/>
                <w:bCs/>
                <w:i/>
                <w:iCs/>
                <w:sz w:val="22"/>
                <w:szCs w:val="22"/>
                <w:shd w:fill="CCCCCC" w:val="clear"/>
              </w:rPr>
              <w:t>#{processosIdentificacaoCertidoesDocumento}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#{pfCertidoesDocumento}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highlight w:val="none"/>
                <w:shd w:fill="CCCCCC" w:val="clear"/>
              </w:rPr>
            </w:pPr>
            <w:r>
              <w:rPr>
                <w:rFonts w:cs="Calibri"/>
                <w:b/>
                <w:bCs/>
                <w:i/>
                <w:iCs/>
                <w:sz w:val="22"/>
                <w:szCs w:val="22"/>
                <w:shd w:fill="CCCCCC" w:val="clear"/>
              </w:rPr>
              <w:t>#{processosIdentificacaoCertidoesSimilariedade}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#{pfCertidoesSimilariedade}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5">
                <wp:simplePos x="0" y="0"/>
                <wp:positionH relativeFrom="column">
                  <wp:posOffset>1656080</wp:posOffset>
                </wp:positionH>
                <wp:positionV relativeFrom="paragraph">
                  <wp:posOffset>19050</wp:posOffset>
                </wp:positionV>
                <wp:extent cx="2229485" cy="905510"/>
                <wp:effectExtent l="1270" t="635" r="635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90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pt-BR"/>
                              </w:rPr>
                              <w:t>ASSINATURA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-1080135</wp:posOffset>
          </wp:positionH>
          <wp:positionV relativeFrom="paragraph">
            <wp:posOffset>135255</wp:posOffset>
          </wp:positionV>
          <wp:extent cx="7562215" cy="9829800"/>
          <wp:effectExtent l="0" t="0" r="0" b="0"/>
          <wp:wrapNone/>
          <wp:docPr id="2" name="WordPictureWatermark7770281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770281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82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Application>LibreOffice/7.5.5.2$Windows_X86_64 LibreOffice_project/ca8fe7424262805f223b9a2334bc7181abbcbf5e</Application>
  <AppVersion>15.0000</AppVersion>
  <Pages>3</Pages>
  <Words>199</Words>
  <Characters>1566</Characters>
  <CharactersWithSpaces>1725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2023-12-01T13:29:03Z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